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0461" w14:textId="77777777" w:rsidR="001B35D4" w:rsidRDefault="001B35D4"/>
    <w:p w14:paraId="6ACC7401" w14:textId="0821BEF0" w:rsidR="000012F9" w:rsidRDefault="000012F9" w:rsidP="000012F9">
      <w:pPr>
        <w:pStyle w:val="Heading1"/>
        <w:rPr>
          <w:rFonts w:asciiTheme="minorHAnsi" w:hAnsiTheme="minorHAnsi" w:cstheme="minorHAnsi"/>
        </w:rPr>
      </w:pPr>
      <w:r>
        <w:rPr>
          <w:rFonts w:asciiTheme="minorHAnsi" w:hAnsiTheme="minorHAnsi" w:cstheme="minorHAnsi"/>
        </w:rPr>
        <w:t>K</w:t>
      </w:r>
      <w:r w:rsidRPr="000012F9">
        <w:rPr>
          <w:rFonts w:asciiTheme="minorHAnsi" w:hAnsiTheme="minorHAnsi" w:cstheme="minorHAnsi"/>
        </w:rPr>
        <w:t>nowledge</w:t>
      </w:r>
      <w:r w:rsidR="005A0206">
        <w:rPr>
          <w:rFonts w:asciiTheme="minorHAnsi" w:hAnsiTheme="minorHAnsi" w:cstheme="minorHAnsi"/>
        </w:rPr>
        <w:t xml:space="preserve"> M</w:t>
      </w:r>
      <w:r w:rsidRPr="000012F9">
        <w:rPr>
          <w:rFonts w:asciiTheme="minorHAnsi" w:hAnsiTheme="minorHAnsi" w:cstheme="minorHAnsi"/>
        </w:rPr>
        <w:t xml:space="preserve">obilisation </w:t>
      </w:r>
      <w:r>
        <w:rPr>
          <w:rFonts w:asciiTheme="minorHAnsi" w:hAnsiTheme="minorHAnsi" w:cstheme="minorHAnsi"/>
        </w:rPr>
        <w:t xml:space="preserve">for the NIHR Health Protection Unit </w:t>
      </w:r>
      <w:r w:rsidR="005A0206">
        <w:rPr>
          <w:rFonts w:asciiTheme="minorHAnsi" w:hAnsiTheme="minorHAnsi" w:cstheme="minorHAnsi"/>
        </w:rPr>
        <w:t xml:space="preserve">in </w:t>
      </w:r>
      <w:r w:rsidR="00655709">
        <w:rPr>
          <w:rFonts w:asciiTheme="minorHAnsi" w:hAnsiTheme="minorHAnsi" w:cstheme="minorHAnsi"/>
        </w:rPr>
        <w:t xml:space="preserve">Environmental Exposures and Health </w:t>
      </w:r>
    </w:p>
    <w:p w14:paraId="24B80258" w14:textId="76165A52" w:rsidR="00843A67" w:rsidRDefault="00843A67" w:rsidP="001254AC">
      <w:pPr>
        <w:pStyle w:val="Heading1"/>
        <w:numPr>
          <w:ilvl w:val="0"/>
          <w:numId w:val="16"/>
        </w:numPr>
      </w:pPr>
      <w:r>
        <w:t xml:space="preserve">Background </w:t>
      </w:r>
    </w:p>
    <w:p w14:paraId="647E49DD" w14:textId="09E6BBDE" w:rsidR="00B571C5" w:rsidRDefault="00B571C5" w:rsidP="00B571C5">
      <w:r w:rsidRPr="005A0206">
        <w:t>Th</w:t>
      </w:r>
      <w:r>
        <w:t>e</w:t>
      </w:r>
      <w:r w:rsidRPr="005A0206">
        <w:t xml:space="preserve"> </w:t>
      </w:r>
      <w:r>
        <w:t>Health Protection Unit (</w:t>
      </w:r>
      <w:r w:rsidRPr="005A0206">
        <w:t>HPRU</w:t>
      </w:r>
      <w:r>
        <w:t xml:space="preserve">) in </w:t>
      </w:r>
      <w:r w:rsidRPr="00B571C5">
        <w:t>Environmental Exposures and Health</w:t>
      </w:r>
      <w:r>
        <w:t xml:space="preserve"> (EEH)</w:t>
      </w:r>
      <w:r w:rsidRPr="005A0206">
        <w:t xml:space="preserve"> is led by</w:t>
      </w:r>
      <w:r>
        <w:t xml:space="preserve"> </w:t>
      </w:r>
      <w:r w:rsidR="0016697F">
        <w:t xml:space="preserve">Imperial College (IC) and is clustered with the Chemical and Radiation Threats and Hazards, and Environmental Change and Health HPRUs that are also served by this strategy. </w:t>
      </w:r>
    </w:p>
    <w:p w14:paraId="19DF1F05" w14:textId="61FB65AC" w:rsidR="00874359" w:rsidRDefault="00874359" w:rsidP="00874359">
      <w:r>
        <w:t xml:space="preserve">Since 2014 the HPRU in the Health Impact of Environment Hazards (http://hieh.hpru.nihr.ac.uk/), a partnership between </w:t>
      </w:r>
      <w:r w:rsidR="0016697F">
        <w:t>IC,</w:t>
      </w:r>
      <w:r>
        <w:t xml:space="preserve"> PHE</w:t>
      </w:r>
      <w:r w:rsidR="0016697F">
        <w:t xml:space="preserve"> and</w:t>
      </w:r>
      <w:r>
        <w:t xml:space="preserve"> </w:t>
      </w:r>
      <w:r w:rsidR="0016697F">
        <w:t xml:space="preserve">King's College London (KCL), </w:t>
      </w:r>
      <w:r>
        <w:t xml:space="preserve">has </w:t>
      </w:r>
      <w:r w:rsidR="0016697F">
        <w:t xml:space="preserve">undertaken research to provide </w:t>
      </w:r>
      <w:r>
        <w:t xml:space="preserve">high quality scientific evidence </w:t>
      </w:r>
      <w:r w:rsidR="0016697F">
        <w:t xml:space="preserve">that has supported </w:t>
      </w:r>
      <w:r>
        <w:t>to support PHE in implementing effective public health interventions to reduce the burden of ill health.</w:t>
      </w:r>
    </w:p>
    <w:p w14:paraId="22DD8809" w14:textId="7C3C7B8F" w:rsidR="00C81280" w:rsidRDefault="00874359" w:rsidP="00874359">
      <w:r w:rsidRPr="00C81280">
        <w:t xml:space="preserve">Air pollution, noise, illicit drugs and tobacco are major </w:t>
      </w:r>
      <w:r w:rsidR="00C81280" w:rsidRPr="00544575">
        <w:t xml:space="preserve">well recognised </w:t>
      </w:r>
      <w:r w:rsidRPr="00C81280">
        <w:t>underlying causes of chronic diseases</w:t>
      </w:r>
      <w:r w:rsidR="00C81280" w:rsidRPr="00544575">
        <w:t>, but with incomplete understanding. In addition</w:t>
      </w:r>
      <w:r w:rsidR="00FE0D72">
        <w:t>,</w:t>
      </w:r>
      <w:r w:rsidR="00C81280" w:rsidRPr="00544575">
        <w:t xml:space="preserve"> </w:t>
      </w:r>
      <w:r w:rsidRPr="00C81280">
        <w:t>emerging exposures such as microplastics and e-cigarettes pose possible risks to human health. Combined</w:t>
      </w:r>
      <w:r w:rsidR="00EB27B8">
        <w:t>,</w:t>
      </w:r>
      <w:r w:rsidRPr="00C81280">
        <w:t xml:space="preserve"> these </w:t>
      </w:r>
      <w:r w:rsidR="008B3999">
        <w:t>environmental</w:t>
      </w:r>
      <w:r w:rsidR="00E305EB">
        <w:t xml:space="preserve"> challenges</w:t>
      </w:r>
      <w:r w:rsidR="008B3999">
        <w:t xml:space="preserve"> contribute to adverse health caus</w:t>
      </w:r>
      <w:r w:rsidR="00E305EB">
        <w:t>ing</w:t>
      </w:r>
      <w:r w:rsidR="008B3999">
        <w:t xml:space="preserve"> </w:t>
      </w:r>
      <w:r w:rsidRPr="00C81280">
        <w:t xml:space="preserve">a considerable burden to the NHS and public purse. </w:t>
      </w:r>
      <w:r w:rsidR="00C81280" w:rsidRPr="00544575">
        <w:t>Furth</w:t>
      </w:r>
      <w:bookmarkStart w:id="0" w:name="_GoBack"/>
      <w:bookmarkEnd w:id="0"/>
      <w:r w:rsidR="00C81280" w:rsidRPr="00544575">
        <w:t xml:space="preserve">er research into the interactions of genetic and environmental factors and their consequence for health will provide the translatable knowledge to be applied to </w:t>
      </w:r>
      <w:r w:rsidRPr="00C81280">
        <w:t xml:space="preserve">reduce morbidity and mortality from disease, increase healthy life expectancy, </w:t>
      </w:r>
      <w:r w:rsidR="00C81280" w:rsidRPr="00544575">
        <w:t xml:space="preserve">and </w:t>
      </w:r>
      <w:r w:rsidRPr="00C81280">
        <w:t>reduce health inequalities from appropriate interventions and controls</w:t>
      </w:r>
      <w:r w:rsidR="00C81280" w:rsidRPr="00544575">
        <w:t>.</w:t>
      </w:r>
    </w:p>
    <w:p w14:paraId="1B78EE44" w14:textId="79B6B119" w:rsidR="0016697F" w:rsidRDefault="0016697F" w:rsidP="00874359">
      <w:r>
        <w:t xml:space="preserve">A </w:t>
      </w:r>
      <w:r w:rsidR="00A35184">
        <w:t xml:space="preserve">difficulty with the </w:t>
      </w:r>
      <w:r>
        <w:t xml:space="preserve">understanding the impact of the environment on health is that exposures are often long term and low level. This is challenging in terms of understanding the contribution to or causation of disease. The </w:t>
      </w:r>
      <w:r w:rsidR="00874359">
        <w:t xml:space="preserve">chronic effects </w:t>
      </w:r>
      <w:r>
        <w:t xml:space="preserve">caused </w:t>
      </w:r>
      <w:r w:rsidR="00874359">
        <w:t xml:space="preserve">are </w:t>
      </w:r>
      <w:r w:rsidR="00A35184">
        <w:t xml:space="preserve">often </w:t>
      </w:r>
      <w:r w:rsidR="00874359">
        <w:t>incremental</w:t>
      </w:r>
      <w:r>
        <w:t xml:space="preserve"> which </w:t>
      </w:r>
      <w:r w:rsidR="00A35184">
        <w:t>complicates the</w:t>
      </w:r>
      <w:r>
        <w:t xml:space="preserve"> </w:t>
      </w:r>
      <w:r w:rsidR="00874359">
        <w:t xml:space="preserve">assessment of adverse outcomes, and </w:t>
      </w:r>
      <w:r>
        <w:t xml:space="preserve">similarly </w:t>
      </w:r>
      <w:r w:rsidR="00874359">
        <w:t xml:space="preserve">the benefits of interventions. Furthermore, effects can be compounded and exacerbated by combined environmental stressors </w:t>
      </w:r>
      <w:proofErr w:type="spellStart"/>
      <w:r>
        <w:t>eg</w:t>
      </w:r>
      <w:proofErr w:type="spellEnd"/>
      <w:r>
        <w:t>:</w:t>
      </w:r>
      <w:r w:rsidR="00874359">
        <w:t xml:space="preserve"> gaseous and particulate pollution</w:t>
      </w:r>
      <w:r>
        <w:t xml:space="preserve"> and </w:t>
      </w:r>
      <w:r w:rsidR="00874359">
        <w:t xml:space="preserve">inter-individual variation </w:t>
      </w:r>
      <w:r>
        <w:t xml:space="preserve">in predisposing factors amongst those exposed </w:t>
      </w:r>
      <w:proofErr w:type="spellStart"/>
      <w:r>
        <w:t>eg</w:t>
      </w:r>
      <w:proofErr w:type="spellEnd"/>
      <w:r>
        <w:t xml:space="preserve">: </w:t>
      </w:r>
      <w:r w:rsidR="00874359">
        <w:t>obesity</w:t>
      </w:r>
      <w:r>
        <w:t>,</w:t>
      </w:r>
      <w:r w:rsidR="00874359">
        <w:t xml:space="preserve"> pre-existing disease</w:t>
      </w:r>
      <w:r>
        <w:t xml:space="preserve"> and age. Furthermore</w:t>
      </w:r>
      <w:r w:rsidR="00FE0D72">
        <w:t>,</w:t>
      </w:r>
      <w:r>
        <w:t xml:space="preserve"> interindividual </w:t>
      </w:r>
      <w:r w:rsidR="00874359">
        <w:t xml:space="preserve">genetic variation </w:t>
      </w:r>
      <w:r>
        <w:t xml:space="preserve">can also give rise to differential </w:t>
      </w:r>
      <w:r w:rsidR="00874359">
        <w:t>susceptibilit</w:t>
      </w:r>
      <w:r>
        <w:t>y</w:t>
      </w:r>
      <w:r w:rsidR="00874359">
        <w:t xml:space="preserve">. </w:t>
      </w:r>
    </w:p>
    <w:p w14:paraId="12D53C5F" w14:textId="70B4FE58" w:rsidR="005A0206" w:rsidRDefault="00874359" w:rsidP="000012F9">
      <w:r>
        <w:t>To address these complex issues</w:t>
      </w:r>
      <w:r w:rsidR="0016697F">
        <w:t xml:space="preserve"> the EEH HPRU </w:t>
      </w:r>
      <w:r w:rsidR="00A35184">
        <w:t>will use</w:t>
      </w:r>
      <w:r w:rsidR="0016697F">
        <w:t xml:space="preserve"> all relevant technology to understand exposure, hazard and suscepti</w:t>
      </w:r>
      <w:r w:rsidR="00F962C7">
        <w:t>bilities combined with epidemiology to recognise the most significant hazards and effective interventions</w:t>
      </w:r>
      <w:r w:rsidR="00A35184">
        <w:t>.</w:t>
      </w:r>
      <w:r w:rsidR="00F962C7">
        <w:t xml:space="preserve"> </w:t>
      </w:r>
      <w:r>
        <w:t>This approach, across our themes</w:t>
      </w:r>
      <w:r w:rsidR="00A35184">
        <w:t xml:space="preserve"> will allow</w:t>
      </w:r>
      <w:r>
        <w:t xml:space="preserve"> us to focus activity around a conceptual framework that examines links from the molecular level </w:t>
      </w:r>
      <w:r w:rsidR="00A35184">
        <w:t xml:space="preserve">to </w:t>
      </w:r>
      <w:r w:rsidR="00047CE3">
        <w:t xml:space="preserve">the </w:t>
      </w:r>
      <w:r w:rsidR="00F90781">
        <w:t>whole body</w:t>
      </w:r>
      <w:r>
        <w:t xml:space="preserve"> across the life course, to advance knowledge and better inform environment and health policy.</w:t>
      </w:r>
      <w:r w:rsidR="00F962C7">
        <w:t xml:space="preserve"> A key function of the </w:t>
      </w:r>
      <w:r w:rsidR="001254AC">
        <w:t>K</w:t>
      </w:r>
      <w:r w:rsidR="00F962C7">
        <w:t xml:space="preserve">nowledge </w:t>
      </w:r>
      <w:r w:rsidR="001254AC">
        <w:t>Mo</w:t>
      </w:r>
      <w:r w:rsidR="00DD7F25">
        <w:t>bi</w:t>
      </w:r>
      <w:r w:rsidR="001254AC">
        <w:t>lisation Team</w:t>
      </w:r>
      <w:r w:rsidR="00F962C7">
        <w:t xml:space="preserve"> will be to take these new data to application. </w:t>
      </w:r>
      <w:r w:rsidR="00AF792C" w:rsidRPr="000012F9">
        <w:rPr>
          <w:rFonts w:cstheme="minorHAnsi"/>
        </w:rPr>
        <w:t xml:space="preserve">This strategy </w:t>
      </w:r>
      <w:r w:rsidR="00DD7F25">
        <w:rPr>
          <w:rFonts w:cstheme="minorHAnsi"/>
        </w:rPr>
        <w:t>outlines our approach</w:t>
      </w:r>
      <w:r w:rsidR="00AF792C" w:rsidRPr="000012F9">
        <w:rPr>
          <w:rFonts w:cstheme="minorHAnsi"/>
        </w:rPr>
        <w:t xml:space="preserve"> to mobilise knowledge generated by </w:t>
      </w:r>
      <w:r w:rsidR="00DD7F25">
        <w:rPr>
          <w:rFonts w:cstheme="minorHAnsi"/>
        </w:rPr>
        <w:t xml:space="preserve">the </w:t>
      </w:r>
      <w:r w:rsidR="00AF792C" w:rsidRPr="000012F9">
        <w:rPr>
          <w:rFonts w:cstheme="minorHAnsi"/>
        </w:rPr>
        <w:t>HPRUs, and to develop</w:t>
      </w:r>
      <w:r w:rsidR="00DD7F25">
        <w:rPr>
          <w:rFonts w:cstheme="minorHAnsi"/>
        </w:rPr>
        <w:t>ing</w:t>
      </w:r>
      <w:r w:rsidR="00AF792C" w:rsidRPr="000012F9">
        <w:rPr>
          <w:rFonts w:cstheme="minorHAnsi"/>
        </w:rPr>
        <w:t xml:space="preserve"> expertise and establish</w:t>
      </w:r>
      <w:r w:rsidR="00DD7F25">
        <w:rPr>
          <w:rFonts w:cstheme="minorHAnsi"/>
        </w:rPr>
        <w:t>ing</w:t>
      </w:r>
      <w:r w:rsidR="00AF792C" w:rsidRPr="000012F9">
        <w:rPr>
          <w:rFonts w:cstheme="minorHAnsi"/>
        </w:rPr>
        <w:t xml:space="preserve"> a culture in partner organisations to improve their capacity to draw on research evidence.</w:t>
      </w:r>
    </w:p>
    <w:p w14:paraId="2597EAA3" w14:textId="07720BA3" w:rsidR="00843A67" w:rsidRDefault="00843A67" w:rsidP="001254AC">
      <w:pPr>
        <w:pStyle w:val="Heading1"/>
        <w:numPr>
          <w:ilvl w:val="0"/>
          <w:numId w:val="16"/>
        </w:numPr>
      </w:pPr>
      <w:r>
        <w:t xml:space="preserve">Knowledge Mobilisation Definition </w:t>
      </w:r>
    </w:p>
    <w:p w14:paraId="58274645" w14:textId="4A4185D2" w:rsidR="00C96C6D" w:rsidRPr="000012F9" w:rsidRDefault="00C96C6D" w:rsidP="00C96C6D">
      <w:r w:rsidRPr="000012F9">
        <w:t>Knowledge mobilisation bring</w:t>
      </w:r>
      <w:r w:rsidR="005C246E">
        <w:t>s</w:t>
      </w:r>
      <w:r w:rsidRPr="000012F9">
        <w:t xml:space="preserve"> together different communities to share knowledge to catalyse change. Knowledge mobilisation is a two-way process which enables advances in health protection research to create benefits for patients and the public; supporting research informed decision-making by policy makers, public health practitioners, the public, and other stakeholders.</w:t>
      </w:r>
    </w:p>
    <w:p w14:paraId="75BFB588" w14:textId="77777777" w:rsidR="00C96C6D" w:rsidRPr="000012F9" w:rsidRDefault="00C96C6D" w:rsidP="00C96C6D">
      <w:r w:rsidRPr="000012F9">
        <w:lastRenderedPageBreak/>
        <w:t xml:space="preserve">Effective knowledge mobilisation involves: </w:t>
      </w:r>
    </w:p>
    <w:p w14:paraId="565165A4" w14:textId="36D76F27" w:rsidR="00F962C7" w:rsidRPr="001254AC" w:rsidRDefault="00F962C7" w:rsidP="00C96C6D">
      <w:pPr>
        <w:numPr>
          <w:ilvl w:val="0"/>
          <w:numId w:val="8"/>
        </w:numPr>
        <w:spacing w:before="100" w:beforeAutospacing="1" w:after="100" w:afterAutospacing="1" w:line="240" w:lineRule="auto"/>
        <w:rPr>
          <w:rFonts w:eastAsia="Times New Roman" w:cstheme="minorHAnsi"/>
          <w:color w:val="000000"/>
        </w:rPr>
      </w:pPr>
      <w:bookmarkStart w:id="1" w:name="_Hlk69370597"/>
      <w:r>
        <w:rPr>
          <w:rFonts w:ascii="Calibri" w:eastAsia="Times New Roman" w:hAnsi="Calibri" w:cs="Calibri"/>
          <w:color w:val="000000"/>
        </w:rPr>
        <w:t xml:space="preserve">Facilitation of engagement of </w:t>
      </w:r>
      <w:r w:rsidR="00C96C6D" w:rsidRPr="000012F9">
        <w:rPr>
          <w:rFonts w:ascii="Calibri" w:eastAsia="Times New Roman" w:hAnsi="Calibri" w:cs="Calibri"/>
          <w:color w:val="000000"/>
        </w:rPr>
        <w:t>researchers with the policy, practice, research and public communities where their research can make a difference</w:t>
      </w:r>
      <w:r>
        <w:rPr>
          <w:rFonts w:ascii="Calibri" w:eastAsia="Times New Roman" w:hAnsi="Calibri" w:cs="Calibri"/>
          <w:color w:val="000000"/>
        </w:rPr>
        <w:t xml:space="preserve">. </w:t>
      </w:r>
    </w:p>
    <w:p w14:paraId="56A414E5" w14:textId="6A8E7652" w:rsidR="00C96C6D" w:rsidRDefault="00A35184" w:rsidP="00C96C6D">
      <w:pPr>
        <w:numPr>
          <w:ilvl w:val="0"/>
          <w:numId w:val="8"/>
        </w:numPr>
        <w:spacing w:before="100" w:beforeAutospacing="1" w:after="100" w:afterAutospacing="1" w:line="240" w:lineRule="auto"/>
        <w:rPr>
          <w:rFonts w:eastAsia="Times New Roman" w:cstheme="minorHAnsi"/>
          <w:color w:val="000000"/>
        </w:rPr>
      </w:pPr>
      <w:r>
        <w:rPr>
          <w:rFonts w:ascii="Calibri" w:eastAsia="Times New Roman" w:hAnsi="Calibri" w:cs="Calibri"/>
          <w:color w:val="000000"/>
        </w:rPr>
        <w:t>Enabling</w:t>
      </w:r>
      <w:r w:rsidR="00F962C7">
        <w:rPr>
          <w:rFonts w:ascii="Calibri" w:eastAsia="Times New Roman" w:hAnsi="Calibri" w:cs="Calibri"/>
          <w:color w:val="000000"/>
        </w:rPr>
        <w:t xml:space="preserve"> </w:t>
      </w:r>
      <w:r w:rsidR="00F962C7" w:rsidRPr="000012F9">
        <w:rPr>
          <w:rFonts w:ascii="Calibri" w:eastAsia="Times New Roman" w:hAnsi="Calibri" w:cs="Calibri"/>
          <w:color w:val="000000"/>
        </w:rPr>
        <w:t>policy, practice, research and communities</w:t>
      </w:r>
      <w:r w:rsidR="00F962C7">
        <w:rPr>
          <w:rFonts w:ascii="Calibri" w:eastAsia="Times New Roman" w:hAnsi="Calibri" w:cs="Calibri"/>
          <w:color w:val="000000"/>
        </w:rPr>
        <w:t xml:space="preserve"> to have a role in the </w:t>
      </w:r>
      <w:r w:rsidR="00C96C6D" w:rsidRPr="000012F9">
        <w:rPr>
          <w:rFonts w:ascii="Calibri" w:eastAsia="Times New Roman" w:hAnsi="Calibri" w:cs="Calibri"/>
          <w:color w:val="000000"/>
        </w:rPr>
        <w:t xml:space="preserve">devising </w:t>
      </w:r>
      <w:r w:rsidR="00F962C7">
        <w:rPr>
          <w:rFonts w:ascii="Calibri" w:eastAsia="Times New Roman" w:hAnsi="Calibri" w:cs="Calibri"/>
          <w:color w:val="000000"/>
        </w:rPr>
        <w:t>of</w:t>
      </w:r>
      <w:r w:rsidR="00F962C7" w:rsidRPr="000012F9">
        <w:rPr>
          <w:rFonts w:ascii="Calibri" w:eastAsia="Times New Roman" w:hAnsi="Calibri" w:cs="Calibri"/>
          <w:color w:val="000000"/>
        </w:rPr>
        <w:t xml:space="preserve"> </w:t>
      </w:r>
      <w:r w:rsidR="00C96C6D" w:rsidRPr="000012F9">
        <w:rPr>
          <w:rFonts w:ascii="Calibri" w:eastAsia="Times New Roman" w:hAnsi="Calibri" w:cs="Calibri"/>
          <w:color w:val="000000"/>
        </w:rPr>
        <w:t xml:space="preserve">research questions, to ensure </w:t>
      </w:r>
      <w:r w:rsidR="00C96C6D" w:rsidRPr="000012F9">
        <w:rPr>
          <w:rFonts w:eastAsia="Times New Roman" w:cstheme="minorHAnsi"/>
          <w:color w:val="000000"/>
        </w:rPr>
        <w:t>that they address important questions in a useful way</w:t>
      </w:r>
      <w:r>
        <w:rPr>
          <w:rFonts w:eastAsia="Times New Roman" w:cstheme="minorHAnsi"/>
          <w:color w:val="000000"/>
        </w:rPr>
        <w:t>.</w:t>
      </w:r>
    </w:p>
    <w:p w14:paraId="6FC28402" w14:textId="7F681493" w:rsidR="00C96C6D" w:rsidRPr="000012F9" w:rsidRDefault="00F962C7" w:rsidP="00C96C6D">
      <w:pPr>
        <w:numPr>
          <w:ilvl w:val="0"/>
          <w:numId w:val="8"/>
        </w:numPr>
        <w:spacing w:before="100" w:beforeAutospacing="1" w:after="100" w:afterAutospacing="1" w:line="240" w:lineRule="auto"/>
        <w:rPr>
          <w:rFonts w:eastAsia="Times New Roman" w:cstheme="minorHAnsi"/>
          <w:color w:val="000000"/>
        </w:rPr>
      </w:pPr>
      <w:r>
        <w:rPr>
          <w:rFonts w:eastAsia="Times New Roman" w:cstheme="minorHAnsi"/>
          <w:color w:val="000000"/>
        </w:rPr>
        <w:t>Enabling r</w:t>
      </w:r>
      <w:r w:rsidR="00C96C6D" w:rsidRPr="000012F9">
        <w:rPr>
          <w:rFonts w:eastAsia="Times New Roman" w:cstheme="minorHAnsi"/>
          <w:color w:val="000000"/>
        </w:rPr>
        <w:t xml:space="preserve">esearchers </w:t>
      </w:r>
      <w:r>
        <w:rPr>
          <w:rFonts w:eastAsia="Times New Roman" w:cstheme="minorHAnsi"/>
          <w:color w:val="000000"/>
        </w:rPr>
        <w:t xml:space="preserve">to influence </w:t>
      </w:r>
      <w:r w:rsidR="00C96C6D" w:rsidRPr="000012F9">
        <w:rPr>
          <w:rFonts w:eastAsia="Times New Roman" w:cstheme="minorHAnsi"/>
          <w:color w:val="000000"/>
        </w:rPr>
        <w:t>decision-making processes in policy, practice and elsewhere through having a 'seat at the table' alongside other approaches to dissemination</w:t>
      </w:r>
    </w:p>
    <w:p w14:paraId="144F335F" w14:textId="6390BAC2" w:rsidR="00C96C6D" w:rsidRDefault="00F962C7" w:rsidP="00C96C6D">
      <w:pPr>
        <w:numPr>
          <w:ilvl w:val="0"/>
          <w:numId w:val="8"/>
        </w:numPr>
        <w:spacing w:before="100" w:beforeAutospacing="1" w:after="100" w:afterAutospacing="1" w:line="240" w:lineRule="auto"/>
        <w:rPr>
          <w:rFonts w:eastAsia="Times New Roman" w:cstheme="minorHAnsi"/>
          <w:color w:val="000000"/>
        </w:rPr>
      </w:pPr>
      <w:r>
        <w:rPr>
          <w:rFonts w:eastAsia="Times New Roman" w:cstheme="minorHAnsi"/>
          <w:color w:val="000000"/>
        </w:rPr>
        <w:t>I</w:t>
      </w:r>
      <w:r w:rsidR="00C96C6D" w:rsidRPr="000012F9">
        <w:rPr>
          <w:rFonts w:eastAsia="Times New Roman" w:cstheme="minorHAnsi"/>
          <w:color w:val="000000"/>
        </w:rPr>
        <w:t>ncreasing understanding of research limitations</w:t>
      </w:r>
      <w:r>
        <w:rPr>
          <w:rFonts w:eastAsia="Times New Roman" w:cstheme="minorHAnsi"/>
          <w:color w:val="000000"/>
        </w:rPr>
        <w:t xml:space="preserve"> and uncertainties</w:t>
      </w:r>
      <w:r w:rsidR="00C96C6D" w:rsidRPr="000012F9">
        <w:rPr>
          <w:rFonts w:eastAsia="Times New Roman" w:cstheme="minorHAnsi"/>
          <w:color w:val="000000"/>
        </w:rPr>
        <w:t>, among those who can use research findings.</w:t>
      </w:r>
    </w:p>
    <w:p w14:paraId="21271DA2" w14:textId="77B093C5" w:rsidR="00F962C7" w:rsidRPr="000012F9" w:rsidRDefault="00A35184" w:rsidP="00C96C6D">
      <w:pPr>
        <w:numPr>
          <w:ilvl w:val="0"/>
          <w:numId w:val="8"/>
        </w:numPr>
        <w:spacing w:before="100" w:beforeAutospacing="1" w:after="100" w:afterAutospacing="1" w:line="240" w:lineRule="auto"/>
        <w:rPr>
          <w:rFonts w:eastAsia="Times New Roman" w:cstheme="minorHAnsi"/>
          <w:color w:val="000000"/>
        </w:rPr>
      </w:pPr>
      <w:r>
        <w:rPr>
          <w:rFonts w:eastAsia="Times New Roman" w:cstheme="minorHAnsi"/>
          <w:color w:val="000000"/>
        </w:rPr>
        <w:t>Transferring</w:t>
      </w:r>
      <w:r w:rsidR="00F962C7">
        <w:rPr>
          <w:rFonts w:eastAsia="Times New Roman" w:cstheme="minorHAnsi"/>
          <w:color w:val="000000"/>
        </w:rPr>
        <w:t xml:space="preserve"> useful knowledge from other sources such as conferences to the HPRU. </w:t>
      </w:r>
    </w:p>
    <w:bookmarkEnd w:id="1"/>
    <w:p w14:paraId="33EC8360" w14:textId="77777777" w:rsidR="00A474EC" w:rsidRDefault="00A474EC" w:rsidP="00A474EC">
      <w:r>
        <w:t xml:space="preserve">An introduction to the evidence base for knowledge mobilisation is given in Appendix 1. </w:t>
      </w:r>
    </w:p>
    <w:p w14:paraId="7DA831E9" w14:textId="6E4B9C57" w:rsidR="00332C7D" w:rsidRDefault="00332C7D" w:rsidP="001254AC">
      <w:pPr>
        <w:pStyle w:val="Heading1"/>
        <w:numPr>
          <w:ilvl w:val="0"/>
          <w:numId w:val="16"/>
        </w:numPr>
      </w:pPr>
      <w:bookmarkStart w:id="2" w:name="_Toc68529564"/>
      <w:r>
        <w:t>Knowledge Mobilisation Aims</w:t>
      </w:r>
      <w:bookmarkEnd w:id="2"/>
      <w:r w:rsidR="00681443">
        <w:t xml:space="preserve"> </w:t>
      </w:r>
    </w:p>
    <w:p w14:paraId="0FEAD895" w14:textId="42204E7C" w:rsidR="00332C7D" w:rsidRPr="000012F9" w:rsidRDefault="00332C7D" w:rsidP="00332C7D">
      <w:r w:rsidRPr="000012F9">
        <w:t xml:space="preserve">This tailored strategy for the HPRU has evolved from the pan-HPRU KM strategy. </w:t>
      </w:r>
      <w:r w:rsidR="00DD7F25">
        <w:t>It has</w:t>
      </w:r>
      <w:r w:rsidRPr="000012F9">
        <w:t xml:space="preserve"> drawn on:</w:t>
      </w:r>
    </w:p>
    <w:p w14:paraId="3F83921D" w14:textId="77777777" w:rsidR="00332C7D" w:rsidRPr="000012F9" w:rsidRDefault="00332C7D" w:rsidP="00332C7D">
      <w:r w:rsidRPr="000012F9">
        <w:t>•</w:t>
      </w:r>
      <w:r w:rsidRPr="000012F9">
        <w:tab/>
        <w:t>research and experiential knowledge of effective knowledge mobilisation strategies</w:t>
      </w:r>
    </w:p>
    <w:p w14:paraId="35892F0A" w14:textId="1BC6B043" w:rsidR="00332C7D" w:rsidRPr="000012F9" w:rsidRDefault="00332C7D" w:rsidP="00332C7D">
      <w:r w:rsidRPr="000012F9">
        <w:t>•</w:t>
      </w:r>
      <w:r w:rsidRPr="000012F9">
        <w:tab/>
        <w:t>conversations with HPRU</w:t>
      </w:r>
      <w:r w:rsidR="005A0206">
        <w:t>-</w:t>
      </w:r>
      <w:r w:rsidR="00655709">
        <w:t>EE</w:t>
      </w:r>
      <w:r w:rsidR="005A0206">
        <w:t xml:space="preserve">H </w:t>
      </w:r>
      <w:r w:rsidRPr="000012F9">
        <w:t xml:space="preserve">affiliated academic and PHE colleagues </w:t>
      </w:r>
    </w:p>
    <w:p w14:paraId="6ADE5791" w14:textId="77777777" w:rsidR="00332C7D" w:rsidRPr="000012F9" w:rsidRDefault="00332C7D" w:rsidP="00332C7D">
      <w:r w:rsidRPr="000012F9">
        <w:t>•</w:t>
      </w:r>
      <w:r w:rsidRPr="000012F9">
        <w:tab/>
        <w:t>conversations with KM leads from other HPRUs</w:t>
      </w:r>
    </w:p>
    <w:p w14:paraId="6ED233B5" w14:textId="7E079E3D" w:rsidR="00332C7D" w:rsidRDefault="00332C7D" w:rsidP="00332C7D">
      <w:r w:rsidRPr="000012F9">
        <w:t>•</w:t>
      </w:r>
      <w:r w:rsidRPr="000012F9">
        <w:tab/>
        <w:t>the HPRU</w:t>
      </w:r>
      <w:r w:rsidR="005A0206">
        <w:t>-</w:t>
      </w:r>
      <w:r w:rsidR="00655709">
        <w:t>EEH</w:t>
      </w:r>
      <w:r w:rsidR="005A0206">
        <w:t xml:space="preserve"> </w:t>
      </w:r>
      <w:r w:rsidRPr="000012F9">
        <w:t>Forward Business Plans</w:t>
      </w:r>
    </w:p>
    <w:p w14:paraId="06B0B41D" w14:textId="77777777" w:rsidR="00A474EC" w:rsidRPr="000012F9" w:rsidRDefault="00A474EC" w:rsidP="00332C7D"/>
    <w:p w14:paraId="2CD65957" w14:textId="21C227CF" w:rsidR="00332C7D" w:rsidRPr="000012F9" w:rsidRDefault="00332C7D" w:rsidP="00332C7D">
      <w:r w:rsidRPr="000012F9">
        <w:t xml:space="preserve">Accordingly, the </w:t>
      </w:r>
      <w:r w:rsidR="000E6ADB" w:rsidRPr="000012F9">
        <w:t>th</w:t>
      </w:r>
      <w:r w:rsidRPr="000012F9">
        <w:t>r</w:t>
      </w:r>
      <w:r w:rsidR="000E6ADB" w:rsidRPr="000012F9">
        <w:t>ee</w:t>
      </w:r>
      <w:r w:rsidRPr="000012F9">
        <w:t xml:space="preserve"> aims agreed with the HPRU directors are:</w:t>
      </w:r>
    </w:p>
    <w:p w14:paraId="25934F38" w14:textId="009B30B7" w:rsidR="000E6ADB" w:rsidRPr="000012F9" w:rsidRDefault="00332C7D" w:rsidP="00332C7D">
      <w:r w:rsidRPr="000012F9">
        <w:t>1.</w:t>
      </w:r>
      <w:r w:rsidRPr="000012F9">
        <w:tab/>
      </w:r>
      <w:r w:rsidR="000E6ADB" w:rsidRPr="000012F9">
        <w:t>Undertake effective knowledge mobilisation activity appropriate to area of research;</w:t>
      </w:r>
    </w:p>
    <w:p w14:paraId="224D0C39" w14:textId="172E71ED" w:rsidR="00332C7D" w:rsidRPr="000012F9" w:rsidRDefault="00332C7D" w:rsidP="00332C7D">
      <w:r w:rsidRPr="000012F9">
        <w:t>2.</w:t>
      </w:r>
      <w:r w:rsidRPr="000012F9">
        <w:tab/>
      </w:r>
      <w:r w:rsidR="000012F9">
        <w:t>Increase</w:t>
      </w:r>
      <w:r w:rsidR="00A65459" w:rsidRPr="000012F9">
        <w:t xml:space="preserve"> knowledge mobilisation</w:t>
      </w:r>
      <w:r w:rsidR="000012F9">
        <w:t xml:space="preserve"> skills and</w:t>
      </w:r>
      <w:r w:rsidR="00A65459" w:rsidRPr="000012F9">
        <w:t xml:space="preserve"> capacity</w:t>
      </w:r>
      <w:r w:rsidR="000012F9">
        <w:t>;</w:t>
      </w:r>
      <w:r w:rsidR="00A65459" w:rsidRPr="000012F9">
        <w:t xml:space="preserve"> </w:t>
      </w:r>
    </w:p>
    <w:p w14:paraId="00DAAC8B" w14:textId="4EA661E6" w:rsidR="00332C7D" w:rsidRPr="000012F9" w:rsidRDefault="00332C7D" w:rsidP="00332C7D">
      <w:r w:rsidRPr="000012F9">
        <w:t>3.</w:t>
      </w:r>
      <w:r w:rsidRPr="000012F9">
        <w:tab/>
      </w:r>
      <w:r w:rsidR="000012F9">
        <w:t>C</w:t>
      </w:r>
      <w:r w:rsidR="000E6ADB" w:rsidRPr="000012F9">
        <w:t>ontribute to the evidence base for effective knowledge mobilisation</w:t>
      </w:r>
      <w:r w:rsidR="000012F9">
        <w:t>.</w:t>
      </w:r>
      <w:r w:rsidRPr="000012F9">
        <w:t xml:space="preserve"> </w:t>
      </w:r>
    </w:p>
    <w:p w14:paraId="0D211305" w14:textId="636FD68E" w:rsidR="00332C7D" w:rsidRPr="000012F9" w:rsidRDefault="00332C7D" w:rsidP="00332C7D">
      <w:r w:rsidRPr="000012F9">
        <w:t>These will be achieved by integrating knowledge mobilisation in the HPRU. Specifically</w:t>
      </w:r>
      <w:r w:rsidR="000012F9">
        <w:t>,</w:t>
      </w:r>
      <w:r w:rsidRPr="000012F9">
        <w:t xml:space="preserve"> it will be built into research training for students also engaging their supervisors, management of post-doctoral research activity, in projects led by senior staff, and in HPRU</w:t>
      </w:r>
      <w:r w:rsidR="005A0206">
        <w:t>-</w:t>
      </w:r>
      <w:r w:rsidR="00655709">
        <w:t>EEH</w:t>
      </w:r>
      <w:r w:rsidRPr="000012F9">
        <w:t xml:space="preserve"> management and monitoring processes </w:t>
      </w:r>
      <w:r w:rsidR="000E6ADB" w:rsidRPr="000012F9">
        <w:t>through</w:t>
      </w:r>
      <w:r w:rsidRPr="000012F9">
        <w:t xml:space="preserve"> management meetings.</w:t>
      </w:r>
    </w:p>
    <w:p w14:paraId="600D246F" w14:textId="77777777" w:rsidR="00681443" w:rsidRDefault="00681443" w:rsidP="00681443">
      <w:pPr>
        <w:pStyle w:val="Heading2"/>
      </w:pPr>
      <w:r>
        <w:t>Technologies for knowledge mobilisation</w:t>
      </w:r>
    </w:p>
    <w:p w14:paraId="71B7C3D2" w14:textId="65B9AE2A" w:rsidR="00B1530B" w:rsidRPr="000012F9" w:rsidRDefault="00681443" w:rsidP="00332C7D">
      <w:r>
        <w:t xml:space="preserve">The knowledge mobilisation partnerships within and across HPRUs will use the full range of relevant technologies to support knowledge mobilisation. As noted above, collaborative relationships across research, practice and policy process are at the centre of this. However more specific tools including   accessible data sets, data visualisation interfaces, easily usable software implementations of methods, policy papers, and </w:t>
      </w:r>
      <w:r w:rsidRPr="007F4B57">
        <w:t>briefing documents</w:t>
      </w:r>
      <w:r>
        <w:t xml:space="preserve"> including lay summaries, and social media communication will be co-produced in support of mobilising knowledge generated by the HPRUs.</w:t>
      </w:r>
    </w:p>
    <w:p w14:paraId="22C0BCC1" w14:textId="7EF7099E" w:rsidR="00B1530B" w:rsidRDefault="00B1530B" w:rsidP="009A551A">
      <w:pPr>
        <w:pStyle w:val="Heading1"/>
        <w:numPr>
          <w:ilvl w:val="0"/>
          <w:numId w:val="16"/>
        </w:numPr>
      </w:pPr>
      <w:r>
        <w:t xml:space="preserve">Capacity building </w:t>
      </w:r>
      <w:r w:rsidR="000E6ADB">
        <w:t xml:space="preserve">and training </w:t>
      </w:r>
      <w:r>
        <w:t>for knowledge mobilisation</w:t>
      </w:r>
    </w:p>
    <w:p w14:paraId="5715EE96" w14:textId="0C1DCF39" w:rsidR="00B1530B" w:rsidRDefault="000A69A0" w:rsidP="000012F9">
      <w:pPr>
        <w:pStyle w:val="Heading2"/>
      </w:pPr>
      <w:r>
        <w:t>I</w:t>
      </w:r>
      <w:bookmarkStart w:id="3" w:name="_Hlk69369009"/>
      <w:r>
        <w:t>nternal HPRU knowledge mobilisation</w:t>
      </w:r>
      <w:bookmarkEnd w:id="3"/>
    </w:p>
    <w:p w14:paraId="7F6ECC5A" w14:textId="2BBB9F00" w:rsidR="00B1530B" w:rsidRPr="000012F9" w:rsidRDefault="00C81280">
      <w:r>
        <w:t xml:space="preserve">The </w:t>
      </w:r>
      <w:r w:rsidR="00361119">
        <w:t xml:space="preserve">Knowledge Mobilisation Team </w:t>
      </w:r>
      <w:r w:rsidR="000A69A0">
        <w:t>w</w:t>
      </w:r>
      <w:r>
        <w:t xml:space="preserve">ill </w:t>
      </w:r>
      <w:r w:rsidR="00BD165B">
        <w:t xml:space="preserve">work with training team to facilitate training by activities such as </w:t>
      </w:r>
      <w:r w:rsidR="00F962C7">
        <w:t xml:space="preserve">arranging </w:t>
      </w:r>
      <w:r w:rsidR="00B1530B" w:rsidRPr="000012F9">
        <w:t xml:space="preserve">placements to work within </w:t>
      </w:r>
      <w:r w:rsidR="00A65459" w:rsidRPr="000012F9">
        <w:t>partn</w:t>
      </w:r>
      <w:r w:rsidR="00B1530B" w:rsidRPr="000012F9">
        <w:t xml:space="preserve">er institutions and settings where appropriate to </w:t>
      </w:r>
      <w:r w:rsidR="00B1530B" w:rsidRPr="000012F9">
        <w:lastRenderedPageBreak/>
        <w:t>achieve mobilisation of our research findings there and knowledge mobilisation capacity development for the HPRU</w:t>
      </w:r>
      <w:r w:rsidR="005A0206">
        <w:t>-</w:t>
      </w:r>
      <w:r w:rsidR="00655709">
        <w:t>EE</w:t>
      </w:r>
      <w:r w:rsidR="005A0206">
        <w:t>H</w:t>
      </w:r>
      <w:r w:rsidR="00B1530B" w:rsidRPr="000012F9">
        <w:t xml:space="preserve"> researchers and staff in that setting.</w:t>
      </w:r>
    </w:p>
    <w:p w14:paraId="58A28D0F" w14:textId="48F3E5E1" w:rsidR="00B1530B" w:rsidRPr="000012F9" w:rsidRDefault="00B1530B" w:rsidP="00B1530B">
      <w:r w:rsidRPr="000012F9">
        <w:t xml:space="preserve">Additionally, specific learning needs </w:t>
      </w:r>
      <w:bookmarkStart w:id="4" w:name="_Hlk69370452"/>
      <w:r w:rsidR="00544575">
        <w:t xml:space="preserve">related to knowledge mobilisation </w:t>
      </w:r>
      <w:bookmarkEnd w:id="4"/>
      <w:r w:rsidRPr="000012F9">
        <w:t>will be elicited at induction and subsequently and supported on an individual basis and as a group as appropriate. It is expected that many learning needs requiring specific training will be shared across HPRUs and delivered collaboratively through developing resources in the knowledge mobilisation network.</w:t>
      </w:r>
    </w:p>
    <w:p w14:paraId="6263921C" w14:textId="745144E7" w:rsidR="00BD165B" w:rsidRDefault="00BD165B" w:rsidP="000012F9">
      <w:pPr>
        <w:pStyle w:val="Heading2"/>
        <w:rPr>
          <w:rFonts w:asciiTheme="minorHAnsi" w:eastAsiaTheme="minorHAnsi" w:hAnsiTheme="minorHAnsi" w:cstheme="minorBidi"/>
          <w:color w:val="auto"/>
          <w:sz w:val="22"/>
          <w:szCs w:val="22"/>
        </w:rPr>
      </w:pPr>
      <w:bookmarkStart w:id="5" w:name="_Hlk69369171"/>
      <w:r w:rsidRPr="00DD7F25">
        <w:rPr>
          <w:rFonts w:cstheme="majorHAnsi"/>
        </w:rPr>
        <w:t>Public Health England (UK Health Security Agency) front line staff and other local staff</w:t>
      </w:r>
      <w:bookmarkEnd w:id="5"/>
    </w:p>
    <w:p w14:paraId="3BC9B346" w14:textId="6CCD4B26" w:rsidR="00BD165B" w:rsidRDefault="00A179D4" w:rsidP="00F265E9">
      <w:r>
        <w:t xml:space="preserve">We will engage with </w:t>
      </w:r>
      <w:bookmarkStart w:id="6" w:name="_Hlk69369495"/>
      <w:r w:rsidR="00BD165B">
        <w:t xml:space="preserve">front line staff to disseminate knowledge generated </w:t>
      </w:r>
      <w:bookmarkEnd w:id="6"/>
      <w:r>
        <w:t>through workshop</w:t>
      </w:r>
      <w:r w:rsidR="00361119">
        <w:t>s</w:t>
      </w:r>
      <w:r>
        <w:t xml:space="preserve"> and iterative development of tools and interfaces to increase their capacity to guide and use our work. </w:t>
      </w:r>
    </w:p>
    <w:p w14:paraId="70BF2005" w14:textId="77777777" w:rsidR="00BD165B" w:rsidRPr="000012F9" w:rsidRDefault="00BD165B" w:rsidP="00BD165B">
      <w:r w:rsidRPr="000012F9">
        <w:t xml:space="preserve">Participation in the pan-HPRU Knowledge Mobilisation network will iteratively develop a knowledge mobilisation framework for health protection incorporating learning across the area. Use of online-training resources in knowledge mobilisation accessible across the HPRU network. </w:t>
      </w:r>
    </w:p>
    <w:p w14:paraId="29445DE7" w14:textId="017F40D4" w:rsidR="00BD165B" w:rsidRDefault="00BD165B" w:rsidP="00F265E9">
      <w:r w:rsidRPr="000012F9">
        <w:t>This will include (i)</w:t>
      </w:r>
      <w:r>
        <w:t xml:space="preserve"> sharing our learning of what works and is difficult, (ii) learning from knowledge mobilisation approaches, experience, and evaluation of other HPRUs, (iii) jointly identifying learning  needs and developing training materials and events, and (iv) participating in joint knowledge mobilisation initiatives as appropriate.    </w:t>
      </w:r>
    </w:p>
    <w:p w14:paraId="7C746494" w14:textId="407024E6" w:rsidR="000012F9" w:rsidRPr="000012F9" w:rsidRDefault="00A179D4" w:rsidP="00F265E9">
      <w:r>
        <w:t xml:space="preserve">This will include active collaboration with subject area HPRUs where our approaches apply, and with groups and individual staff in Public </w:t>
      </w:r>
      <w:r w:rsidRPr="000012F9">
        <w:t>Health England. We will also engage with other researchers and research users nationally and internationally given the general relevance of the intended research. This will include an open approach to HPRU-</w:t>
      </w:r>
      <w:r w:rsidR="00655709">
        <w:t>EE</w:t>
      </w:r>
      <w:r w:rsidR="005A0206">
        <w:t>H</w:t>
      </w:r>
      <w:r w:rsidRPr="000012F9">
        <w:t xml:space="preserve"> membership allowing supported use of tools and participation in workshops.</w:t>
      </w:r>
      <w:r w:rsidR="00F265E9" w:rsidRPr="000012F9">
        <w:t xml:space="preserve">  </w:t>
      </w:r>
    </w:p>
    <w:p w14:paraId="5B9C42B2" w14:textId="3B61788E" w:rsidR="00A179D4" w:rsidRDefault="00A179D4" w:rsidP="00A179D4">
      <w:pPr>
        <w:pStyle w:val="Heading2"/>
      </w:pPr>
      <w:bookmarkStart w:id="7" w:name="_Hlk69369180"/>
      <w:r>
        <w:t>Knowledge mobilisation across HPRUs</w:t>
      </w:r>
    </w:p>
    <w:p w14:paraId="396B4527" w14:textId="753FE126" w:rsidR="00BD165B" w:rsidRDefault="00BD165B" w:rsidP="00BD165B">
      <w:bookmarkStart w:id="8" w:name="_Hlk69369352"/>
      <w:bookmarkEnd w:id="7"/>
      <w:r>
        <w:t xml:space="preserve">The </w:t>
      </w:r>
      <w:r w:rsidR="00361119">
        <w:t>Knowledge Mobilisation Team</w:t>
      </w:r>
      <w:r>
        <w:t xml:space="preserve"> will facilitate the transfer of knowledge between the HPRUs to further research. This may include activities such as arranging and chairing meetings areas where the </w:t>
      </w:r>
      <w:r w:rsidR="00361119">
        <w:t>Knowledge Mobilisation Team</w:t>
      </w:r>
      <w:r>
        <w:t xml:space="preserve"> considers there may be benefits from collaboration. The </w:t>
      </w:r>
      <w:r w:rsidR="00361119">
        <w:t xml:space="preserve">Knowledge Mobilisation Team </w:t>
      </w:r>
      <w:r>
        <w:t xml:space="preserve">will continue to monitor calls for research and make members of the HPRU aware. </w:t>
      </w:r>
    </w:p>
    <w:p w14:paraId="67BAF7BB" w14:textId="630891DC" w:rsidR="00BD165B" w:rsidRPr="00BD165B" w:rsidRDefault="00BD165B" w:rsidP="009A551A">
      <w:bookmarkStart w:id="9" w:name="_Hlk69369367"/>
      <w:bookmarkEnd w:id="8"/>
      <w:r>
        <w:t>The K</w:t>
      </w:r>
      <w:r w:rsidR="00361119">
        <w:t xml:space="preserve">nowledge Mobilisation Team </w:t>
      </w:r>
      <w:r>
        <w:t xml:space="preserve">will liaise with other </w:t>
      </w:r>
      <w:r w:rsidR="00361119">
        <w:t>Knowledge Mobilisation Teams</w:t>
      </w:r>
      <w:r>
        <w:t xml:space="preserve"> to similarly share knowledge and identify opportunities across the HPRUs. </w:t>
      </w:r>
    </w:p>
    <w:bookmarkEnd w:id="9"/>
    <w:p w14:paraId="17FCAFF0" w14:textId="72589414" w:rsidR="00A179D4" w:rsidRDefault="00A179D4" w:rsidP="00A179D4">
      <w:r w:rsidRPr="000012F9">
        <w:t xml:space="preserve">Effectiveness in this area of strategy will be evidenced by </w:t>
      </w:r>
      <w:bookmarkStart w:id="10" w:name="_Hlk69369249"/>
      <w:r w:rsidR="005E4D7E">
        <w:t xml:space="preserve">new collaborations and projects that otherwise might not have been recognised and the application of knowledge without regard for boundaries. </w:t>
      </w:r>
      <w:bookmarkEnd w:id="10"/>
    </w:p>
    <w:p w14:paraId="4CF52E58" w14:textId="2D1B0AEF" w:rsidR="00A35184" w:rsidRPr="00544575" w:rsidRDefault="00A35184" w:rsidP="009A551A">
      <w:pPr>
        <w:pStyle w:val="ListParagraph"/>
        <w:numPr>
          <w:ilvl w:val="0"/>
          <w:numId w:val="16"/>
        </w:numPr>
        <w:rPr>
          <w:rFonts w:asciiTheme="majorHAnsi" w:eastAsiaTheme="majorEastAsia" w:hAnsiTheme="majorHAnsi" w:cstheme="majorBidi"/>
          <w:color w:val="2F5496" w:themeColor="accent1" w:themeShade="BF"/>
          <w:sz w:val="32"/>
          <w:szCs w:val="32"/>
        </w:rPr>
      </w:pPr>
      <w:r w:rsidRPr="00544575">
        <w:rPr>
          <w:rFonts w:asciiTheme="majorHAnsi" w:eastAsiaTheme="majorEastAsia" w:hAnsiTheme="majorHAnsi" w:cstheme="majorBidi"/>
          <w:color w:val="2F5496" w:themeColor="accent1" w:themeShade="BF"/>
          <w:sz w:val="32"/>
          <w:szCs w:val="32"/>
        </w:rPr>
        <w:t xml:space="preserve">Engagement with external stakeholders </w:t>
      </w:r>
    </w:p>
    <w:p w14:paraId="6A05E914" w14:textId="77777777" w:rsidR="00A179D4" w:rsidRDefault="00A179D4" w:rsidP="00A179D4">
      <w:pPr>
        <w:pStyle w:val="Heading2"/>
      </w:pPr>
      <w:r>
        <w:t>Engagement</w:t>
      </w:r>
      <w:r w:rsidRPr="00B75FA4">
        <w:t xml:space="preserve"> </w:t>
      </w:r>
      <w:r>
        <w:t xml:space="preserve">with wider </w:t>
      </w:r>
      <w:proofErr w:type="gramStart"/>
      <w:r>
        <w:t>policy-makers</w:t>
      </w:r>
      <w:proofErr w:type="gramEnd"/>
      <w:r>
        <w:t xml:space="preserve">, professionals, industry </w:t>
      </w:r>
      <w:r w:rsidRPr="00B75FA4">
        <w:t>and the public</w:t>
      </w:r>
    </w:p>
    <w:p w14:paraId="7FCB8299" w14:textId="3B07963A" w:rsidR="00A179D4" w:rsidRDefault="00A179D4" w:rsidP="00A179D4">
      <w:r>
        <w:t xml:space="preserve">This will include identification of </w:t>
      </w:r>
      <w:r w:rsidR="00843A67">
        <w:t xml:space="preserve">end users and </w:t>
      </w:r>
      <w:r>
        <w:t>stakeholders for</w:t>
      </w:r>
      <w:r w:rsidR="00FE0D72">
        <w:t>,</w:t>
      </w:r>
      <w:r>
        <w:t xml:space="preserve"> and on whom</w:t>
      </w:r>
      <w:r w:rsidR="00FE0D72">
        <w:t>,</w:t>
      </w:r>
      <w:r>
        <w:t xml:space="preserve"> the research of each HPRU has the potential to impact</w:t>
      </w:r>
      <w:r w:rsidR="00FE0D72">
        <w:t xml:space="preserve">.  It also involves </w:t>
      </w:r>
      <w:r>
        <w:t xml:space="preserve">developing relationships to allow their expertise in and engagement with the research from planning to dissemination. </w:t>
      </w:r>
      <w:bookmarkStart w:id="11" w:name="_Hlk61273731"/>
      <w:r>
        <w:t>We will also work with our HPRU Patient and Public Involvement and Engagement leads when considering knowledge mobilisation with the public.</w:t>
      </w:r>
      <w:bookmarkEnd w:id="11"/>
    </w:p>
    <w:p w14:paraId="76C91E21" w14:textId="1BEDA964" w:rsidR="005E4D7E" w:rsidRDefault="005E4D7E" w:rsidP="005E4D7E">
      <w:r>
        <w:lastRenderedPageBreak/>
        <w:t xml:space="preserve">Stakeholder mapping can be conducted with the Public and Community Oversight Group (PCOG) to identify end-users and other stakeholders at the project and theme level, the HPRU-EEH can map </w:t>
      </w:r>
      <w:bookmarkStart w:id="12" w:name="_Hlk69369423"/>
      <w:r>
        <w:t>and reach out to these groups to facilitate knowledge transfer and identify area for new work where there are evidence gap</w:t>
      </w:r>
      <w:r w:rsidR="00361119">
        <w:t>s</w:t>
      </w:r>
      <w:r>
        <w:t xml:space="preserve">. </w:t>
      </w:r>
      <w:bookmarkEnd w:id="12"/>
      <w:r>
        <w:t xml:space="preserve">This activity may include arranging stakeholder </w:t>
      </w:r>
      <w:r w:rsidRPr="003B5063">
        <w:t>workshops</w:t>
      </w:r>
      <w:r>
        <w:t xml:space="preserve">. </w:t>
      </w:r>
      <w:r w:rsidR="009A551A">
        <w:t xml:space="preserve">  Stakeholders already identified include the Department of Health and Social Care, the D</w:t>
      </w:r>
      <w:r w:rsidR="009A551A" w:rsidRPr="00B81C86">
        <w:t>epartment for Business, Energy &amp; Industrial Strategy</w:t>
      </w:r>
      <w:r w:rsidR="009A551A">
        <w:t xml:space="preserve"> and the </w:t>
      </w:r>
      <w:r w:rsidR="009A551A" w:rsidRPr="00B81C86">
        <w:t>Department for Environment, Food and Rural Affairs</w:t>
      </w:r>
      <w:r w:rsidR="009A551A">
        <w:t>.</w:t>
      </w:r>
    </w:p>
    <w:p w14:paraId="7A22BAF1" w14:textId="02A5190B" w:rsidR="00843A67" w:rsidRDefault="00843A67" w:rsidP="00A179D4">
      <w:r>
        <w:t xml:space="preserve">When identifying </w:t>
      </w:r>
      <w:r w:rsidR="005E4D7E">
        <w:t xml:space="preserve">new </w:t>
      </w:r>
      <w:proofErr w:type="gramStart"/>
      <w:r>
        <w:t>stakeholders</w:t>
      </w:r>
      <w:proofErr w:type="gramEnd"/>
      <w:r>
        <w:t xml:space="preserve"> the following </w:t>
      </w:r>
      <w:r w:rsidR="005E4D7E">
        <w:t>will be taken into account</w:t>
      </w:r>
      <w:r>
        <w:t xml:space="preserve">: </w:t>
      </w:r>
    </w:p>
    <w:p w14:paraId="1AB36A14" w14:textId="77777777" w:rsidR="00843A67" w:rsidRDefault="00843A67" w:rsidP="00A179D4">
      <w:r>
        <w:t xml:space="preserve">- The level of stakeholders’ interest in the project </w:t>
      </w:r>
    </w:p>
    <w:p w14:paraId="5DF96B4B" w14:textId="77777777" w:rsidR="00843A67" w:rsidRDefault="00843A67" w:rsidP="00A179D4">
      <w:r>
        <w:t>- Aspects of the research they are interested in</w:t>
      </w:r>
    </w:p>
    <w:p w14:paraId="0F4BA0E6" w14:textId="77777777" w:rsidR="00843A67" w:rsidRDefault="00843A67" w:rsidP="00A179D4">
      <w:r>
        <w:t xml:space="preserve">- The level of influence to generate impact. </w:t>
      </w:r>
    </w:p>
    <w:p w14:paraId="5E5A50A9" w14:textId="77777777" w:rsidR="00A179D4" w:rsidRDefault="00A179D4" w:rsidP="00A179D4">
      <w:r>
        <w:t xml:space="preserve">Planning, implementing and reflections on this </w:t>
      </w:r>
      <w:r w:rsidRPr="00144FCB">
        <w:t>activity will</w:t>
      </w:r>
      <w:r>
        <w:t xml:space="preserve"> provide a record for reporting and material to allow improvement in these approaches.</w:t>
      </w:r>
    </w:p>
    <w:p w14:paraId="694567F2" w14:textId="77777777" w:rsidR="00B1530B" w:rsidRDefault="00B1530B" w:rsidP="000012F9">
      <w:pPr>
        <w:pStyle w:val="Heading2"/>
      </w:pPr>
      <w:r>
        <w:t>Contributing to the knowledge mobilisation evidence base</w:t>
      </w:r>
    </w:p>
    <w:p w14:paraId="6C4C0F33" w14:textId="77777777" w:rsidR="00A65459" w:rsidRDefault="00B1530B" w:rsidP="00B1530B">
      <w:r>
        <w:t xml:space="preserve">As an expanding area of practice, knowledge mobilisation needs a developing underpinning evidence base. Knowledge mobilisation in health protection may also have some specific aspects. HPRUs will therefore evaluate the effectiveness of their knowledge mobilisation approaches. </w:t>
      </w:r>
    </w:p>
    <w:p w14:paraId="34386F74" w14:textId="741888FC" w:rsidR="00A65459" w:rsidRDefault="00A65459" w:rsidP="00B1530B">
      <w:r>
        <w:t>Recording of activities and capacity development is integrated, including PhD supervision, post-doctoral research activity management, and project development. It will be captured in parallel, ideally within the HPRU intranet to facilitate collation and review.</w:t>
      </w:r>
    </w:p>
    <w:p w14:paraId="26B1A3BB" w14:textId="4ECFE53B" w:rsidR="00B1530B" w:rsidRDefault="00B1530B" w:rsidP="00B1530B">
      <w:r>
        <w:t xml:space="preserve">Proposals for this includes evaluation of the changes in the culture and expertise in mobilising knowledge across researchers and other partners, prospective studies of approaches employed and their effects, and observational studies including case studies. </w:t>
      </w:r>
    </w:p>
    <w:p w14:paraId="75E5227E" w14:textId="3CF007D8" w:rsidR="00A179D4" w:rsidRDefault="00A179D4" w:rsidP="00A179D4">
      <w:pPr>
        <w:pStyle w:val="Heading2"/>
      </w:pPr>
      <w:r>
        <w:t xml:space="preserve">Measuring impacts and the role of knowledge mobilisation </w:t>
      </w:r>
    </w:p>
    <w:p w14:paraId="1ADD24C9" w14:textId="7339DE34" w:rsidR="00843A67" w:rsidRDefault="00A179D4" w:rsidP="00843A67">
      <w:r>
        <w:t>HPRUs will evaluate their knowledge mobilisation activity annually</w:t>
      </w:r>
      <w:r w:rsidR="005C246E">
        <w:t xml:space="preserve">, using a reporting form (Appendix 2).  </w:t>
      </w:r>
    </w:p>
    <w:p w14:paraId="192F30EB" w14:textId="4616F4BD" w:rsidR="0033012F" w:rsidRDefault="00843A67" w:rsidP="00843A67">
      <w:r>
        <w:t>Knowledge mobilisation outcomes in the HPRU</w:t>
      </w:r>
      <w:r w:rsidR="00541475">
        <w:t>-</w:t>
      </w:r>
      <w:r w:rsidR="00655709">
        <w:t>EEH</w:t>
      </w:r>
      <w:r>
        <w:t xml:space="preserve"> </w:t>
      </w:r>
      <w:r w:rsidR="0033012F">
        <w:t>a</w:t>
      </w:r>
      <w:r>
        <w:t xml:space="preserve">re continuously reported systematically. </w:t>
      </w:r>
      <w:r w:rsidR="0033012F">
        <w:t xml:space="preserve"> R</w:t>
      </w:r>
      <w:r>
        <w:t xml:space="preserve">esearchers are required to report all knowledge engagement and mobilisation activities undertaken. Where available, supporting evidence will be submitted by researchers to strengthen case studies and to enable follow-up actions where required. </w:t>
      </w:r>
    </w:p>
    <w:p w14:paraId="05917FB7" w14:textId="77777777" w:rsidR="0033012F" w:rsidRDefault="00843A67" w:rsidP="00843A67">
      <w:r>
        <w:t xml:space="preserve">Examples include but are not limited to: </w:t>
      </w:r>
    </w:p>
    <w:p w14:paraId="1EF5C756" w14:textId="77777777" w:rsidR="0033012F" w:rsidRDefault="00843A67" w:rsidP="00843A67">
      <w:r>
        <w:t xml:space="preserve">• Use of research to inform national guidelines </w:t>
      </w:r>
    </w:p>
    <w:p w14:paraId="7C9ED5DF" w14:textId="1E5CF280" w:rsidR="0033012F" w:rsidRDefault="00843A67" w:rsidP="00843A67">
      <w:r>
        <w:t xml:space="preserve">• membership of and contribution to Government advisory groups (e.g. SAGE) or local Government advisory groups (e.g. outbreak management group) </w:t>
      </w:r>
    </w:p>
    <w:p w14:paraId="41766C27" w14:textId="6ECFE17A" w:rsidR="0033012F" w:rsidRDefault="00843A67" w:rsidP="00843A67">
      <w:r>
        <w:t xml:space="preserve">• submissions to Parliamentary Select Committees (written or oral), or other parliamentary knowledge exchange activities </w:t>
      </w:r>
    </w:p>
    <w:p w14:paraId="7309FCDB" w14:textId="35DAB044" w:rsidR="0033012F" w:rsidRDefault="00843A67" w:rsidP="00843A67">
      <w:r>
        <w:t>• advising organisations or governing bodies on Covid-19 strategies (e.g. national governing bodies</w:t>
      </w:r>
      <w:r w:rsidR="00FE0D72">
        <w:t xml:space="preserve"> </w:t>
      </w:r>
      <w:proofErr w:type="gramStart"/>
      <w:r w:rsidR="00FE0D72">
        <w:t xml:space="preserve">and </w:t>
      </w:r>
      <w:r>
        <w:t>,</w:t>
      </w:r>
      <w:proofErr w:type="gramEnd"/>
      <w:r>
        <w:t xml:space="preserve"> businesses) </w:t>
      </w:r>
    </w:p>
    <w:p w14:paraId="67A19684" w14:textId="78DEA317" w:rsidR="0033012F" w:rsidRDefault="00843A67" w:rsidP="00843A67">
      <w:r>
        <w:t xml:space="preserve">All data will be collated annually to report to </w:t>
      </w:r>
      <w:proofErr w:type="gramStart"/>
      <w:r>
        <w:t>NIHR</w:t>
      </w:r>
      <w:proofErr w:type="gramEnd"/>
      <w:r>
        <w:t xml:space="preserve"> and a case study selected to highlight substantial added value or impact within the Unit. Reporting will include </w:t>
      </w:r>
      <w:r w:rsidR="00FE0D72">
        <w:t xml:space="preserve">the </w:t>
      </w:r>
      <w:r>
        <w:t xml:space="preserve">following areas: </w:t>
      </w:r>
    </w:p>
    <w:p w14:paraId="64B8DBB0" w14:textId="77777777" w:rsidR="0033012F" w:rsidRDefault="00843A67" w:rsidP="00843A67">
      <w:r>
        <w:lastRenderedPageBreak/>
        <w:t xml:space="preserve">• Reflections on knowledge mobilisation and monitoring of activity </w:t>
      </w:r>
    </w:p>
    <w:p w14:paraId="1C76B15F" w14:textId="1E095E47" w:rsidR="0033012F" w:rsidRDefault="00843A67" w:rsidP="00843A67">
      <w:r>
        <w:t>• Collaboration with PHE/</w:t>
      </w:r>
      <w:r w:rsidR="00541475">
        <w:t>UKHSA</w:t>
      </w:r>
      <w:r>
        <w:t xml:space="preserve"> </w:t>
      </w:r>
    </w:p>
    <w:p w14:paraId="0D2EDA4C" w14:textId="77777777" w:rsidR="0033012F" w:rsidRDefault="00843A67" w:rsidP="00843A67">
      <w:r>
        <w:t xml:space="preserve">• Engagement with stakeholders </w:t>
      </w:r>
    </w:p>
    <w:p w14:paraId="7CA403F5" w14:textId="3B38CD75" w:rsidR="0033012F" w:rsidRDefault="00843A67" w:rsidP="00843A67">
      <w:r>
        <w:t xml:space="preserve">• Dissemination and communication of research activity </w:t>
      </w:r>
    </w:p>
    <w:p w14:paraId="678429FE" w14:textId="77777777" w:rsidR="005F5057" w:rsidRDefault="00843A67">
      <w:r>
        <w:t>• Capacity building and training on knowledge mobilisation.</w:t>
      </w:r>
    </w:p>
    <w:p w14:paraId="620F82AC" w14:textId="29456D70" w:rsidR="00A474EC" w:rsidRDefault="00A474EC">
      <w:r>
        <w:br w:type="page"/>
      </w:r>
    </w:p>
    <w:p w14:paraId="2C7A0BC1" w14:textId="651252E4" w:rsidR="00A474EC" w:rsidRDefault="00A474EC" w:rsidP="00A474EC">
      <w:pPr>
        <w:pStyle w:val="Heading2"/>
      </w:pPr>
      <w:r>
        <w:lastRenderedPageBreak/>
        <w:t xml:space="preserve">Appendix 1: Theory and Evidence informed approaches </w:t>
      </w:r>
    </w:p>
    <w:p w14:paraId="0B02EA9E" w14:textId="77777777" w:rsidR="00A474EC" w:rsidRPr="00A474EC" w:rsidRDefault="00A474EC" w:rsidP="00A474EC"/>
    <w:p w14:paraId="29EBBF9F" w14:textId="6B3425D2" w:rsidR="00A474EC" w:rsidRPr="00A474EC" w:rsidRDefault="00A474EC" w:rsidP="00A474EC">
      <w:pPr>
        <w:rPr>
          <w:iCs/>
        </w:rPr>
      </w:pPr>
      <w:r>
        <w:rPr>
          <w:iCs/>
        </w:rPr>
        <w:t xml:space="preserve">NIHR HPRUs </w:t>
      </w:r>
      <w:r w:rsidRPr="00A474EC">
        <w:rPr>
          <w:iCs/>
        </w:rPr>
        <w:t>aim to apply evidence or theory-based approaches to knowledge mobilisation, building evidence in the process.</w:t>
      </w:r>
    </w:p>
    <w:p w14:paraId="54230882" w14:textId="77777777" w:rsidR="00A474EC" w:rsidRPr="00A474EC" w:rsidRDefault="00A474EC" w:rsidP="00A474EC">
      <w:r w:rsidRPr="00A474EC">
        <w:rPr>
          <w:iCs/>
        </w:rPr>
        <w:t xml:space="preserve">One framework within which evidence-based approaches to knowledge mobilisation is presented in </w:t>
      </w:r>
      <w:hyperlink r:id="rId10" w:history="1">
        <w:r w:rsidRPr="00A474EC">
          <w:rPr>
            <w:rStyle w:val="Hyperlink"/>
            <w:i/>
          </w:rPr>
          <w:t>Using Evidence: What Works</w:t>
        </w:r>
      </w:hyperlink>
      <w:r w:rsidRPr="00A474EC">
        <w:rPr>
          <w:rStyle w:val="Hyperlink"/>
          <w:i/>
        </w:rPr>
        <w:t>.</w:t>
      </w:r>
      <w:r w:rsidRPr="00A474EC">
        <w:rPr>
          <w:rStyle w:val="Hyperlink"/>
          <w:iCs/>
        </w:rPr>
        <w:t xml:space="preserve"> </w:t>
      </w:r>
      <w:r w:rsidRPr="00A474EC">
        <w:t xml:space="preserve"> This is a “discussion document” which summarises a project called The Science of Using Science, funded by the </w:t>
      </w:r>
      <w:proofErr w:type="spellStart"/>
      <w:r w:rsidRPr="00A474EC">
        <w:t>Wellcome</w:t>
      </w:r>
      <w:proofErr w:type="spellEnd"/>
      <w:r w:rsidRPr="00A474EC">
        <w:t xml:space="preserve"> Trust and the What Works Centre for Wellbeing (Breckon and Dodson, 2016; Langer et al, 2016). The aim of The Science of Using Science project was to review which interventions are most effective at increasing decision-makers’ use of research evidence in various decision arenas. The project involved two “review of reviews”.</w:t>
      </w:r>
    </w:p>
    <w:p w14:paraId="5F0A4395" w14:textId="77777777" w:rsidR="00A474EC" w:rsidRPr="00A474EC" w:rsidRDefault="00A474EC" w:rsidP="00A474EC">
      <w:pPr>
        <w:pStyle w:val="ListParagraph"/>
        <w:numPr>
          <w:ilvl w:val="0"/>
          <w:numId w:val="9"/>
        </w:numPr>
        <w:spacing w:before="0" w:after="160" w:line="259" w:lineRule="auto"/>
      </w:pPr>
      <w:r w:rsidRPr="00A474EC">
        <w:t xml:space="preserve">A systematic review of systematic reviews of the evidence-informed </w:t>
      </w:r>
      <w:proofErr w:type="gramStart"/>
      <w:r w:rsidRPr="00A474EC">
        <w:t>decision making</w:t>
      </w:r>
      <w:proofErr w:type="gramEnd"/>
      <w:r w:rsidRPr="00A474EC">
        <w:t xml:space="preserve"> literature, which included 36 reviews of 91 interventions;</w:t>
      </w:r>
    </w:p>
    <w:p w14:paraId="27CF9B99" w14:textId="77777777" w:rsidR="00A474EC" w:rsidRPr="00A474EC" w:rsidRDefault="00A474EC" w:rsidP="00A474EC">
      <w:pPr>
        <w:pStyle w:val="ListParagraph"/>
        <w:numPr>
          <w:ilvl w:val="0"/>
          <w:numId w:val="9"/>
        </w:numPr>
        <w:spacing w:before="0" w:after="160" w:line="259" w:lineRule="auto"/>
      </w:pPr>
      <w:r w:rsidRPr="00A474EC">
        <w:t>A scoping review of other social science interventions that might be relevant to knowledge mobilisation which identified more than 100 interventions.</w:t>
      </w:r>
    </w:p>
    <w:p w14:paraId="629108B5" w14:textId="77777777" w:rsidR="00A474EC" w:rsidRPr="000012F9" w:rsidRDefault="00A474EC" w:rsidP="00A474EC">
      <w:pPr>
        <w:rPr>
          <w:rFonts w:eastAsia="Arial" w:cstheme="minorHAnsi"/>
          <w:color w:val="000000"/>
        </w:rPr>
      </w:pPr>
      <w:r w:rsidRPr="00A474EC">
        <w:t>Identified interventions were grouped within six underlying mechanisms of enabling research-informed decision-making. These are:</w:t>
      </w:r>
    </w:p>
    <w:p w14:paraId="7107F692" w14:textId="77777777" w:rsidR="00A474EC" w:rsidRPr="000012F9" w:rsidRDefault="00A474EC" w:rsidP="00A474EC">
      <w:pPr>
        <w:numPr>
          <w:ilvl w:val="0"/>
          <w:numId w:val="1"/>
        </w:numPr>
        <w:pBdr>
          <w:top w:val="nil"/>
          <w:left w:val="nil"/>
          <w:bottom w:val="nil"/>
          <w:right w:val="nil"/>
          <w:between w:val="nil"/>
        </w:pBdr>
        <w:spacing w:after="0" w:line="240" w:lineRule="auto"/>
        <w:rPr>
          <w:rFonts w:eastAsia="Arial" w:cstheme="minorHAnsi"/>
          <w:color w:val="000000"/>
        </w:rPr>
      </w:pPr>
      <w:r w:rsidRPr="000012F9">
        <w:rPr>
          <w:rFonts w:eastAsia="Arial" w:cstheme="minorHAnsi"/>
          <w:b/>
          <w:bCs/>
          <w:color w:val="000000"/>
        </w:rPr>
        <w:t>Awareness:</w:t>
      </w:r>
      <w:r w:rsidRPr="000012F9">
        <w:rPr>
          <w:rFonts w:eastAsia="Arial" w:cstheme="minorHAnsi"/>
          <w:color w:val="000000"/>
        </w:rPr>
        <w:t xml:space="preserve"> building awareness and positive attitudes towards evidence use</w:t>
      </w:r>
    </w:p>
    <w:p w14:paraId="598B31AE" w14:textId="77777777" w:rsidR="00A474EC" w:rsidRPr="000012F9" w:rsidRDefault="00A474EC" w:rsidP="00A474EC">
      <w:pPr>
        <w:numPr>
          <w:ilvl w:val="0"/>
          <w:numId w:val="1"/>
        </w:numPr>
        <w:pBdr>
          <w:top w:val="nil"/>
          <w:left w:val="nil"/>
          <w:bottom w:val="nil"/>
          <w:right w:val="nil"/>
          <w:between w:val="nil"/>
        </w:pBdr>
        <w:spacing w:after="0" w:line="240" w:lineRule="auto"/>
        <w:rPr>
          <w:rFonts w:eastAsia="Arial" w:cstheme="minorHAnsi"/>
          <w:color w:val="000000"/>
        </w:rPr>
      </w:pPr>
      <w:r w:rsidRPr="000012F9">
        <w:rPr>
          <w:rFonts w:eastAsia="Arial" w:cstheme="minorHAnsi"/>
          <w:b/>
          <w:bCs/>
          <w:color w:val="000000"/>
        </w:rPr>
        <w:t>Agree:</w:t>
      </w:r>
      <w:r w:rsidRPr="000012F9">
        <w:rPr>
          <w:rFonts w:eastAsia="Arial" w:cstheme="minorHAnsi"/>
          <w:color w:val="000000"/>
        </w:rPr>
        <w:t xml:space="preserve"> building mutual understanding and agreement on policy-relevant questions and the kind of evidence needed to answer them</w:t>
      </w:r>
    </w:p>
    <w:p w14:paraId="4BFDB6C1" w14:textId="77777777" w:rsidR="00A474EC" w:rsidRPr="000012F9" w:rsidRDefault="00A474EC" w:rsidP="00A474EC">
      <w:pPr>
        <w:numPr>
          <w:ilvl w:val="0"/>
          <w:numId w:val="1"/>
        </w:numPr>
        <w:pBdr>
          <w:top w:val="nil"/>
          <w:left w:val="nil"/>
          <w:bottom w:val="nil"/>
          <w:right w:val="nil"/>
          <w:between w:val="nil"/>
        </w:pBdr>
        <w:spacing w:after="0" w:line="240" w:lineRule="auto"/>
        <w:rPr>
          <w:rFonts w:eastAsia="Arial" w:cstheme="minorHAnsi"/>
          <w:color w:val="000000"/>
        </w:rPr>
      </w:pPr>
      <w:r w:rsidRPr="000012F9">
        <w:rPr>
          <w:rFonts w:eastAsia="Arial" w:cstheme="minorHAnsi"/>
          <w:b/>
          <w:bCs/>
          <w:color w:val="000000"/>
        </w:rPr>
        <w:t>Access and communication:</w:t>
      </w:r>
      <w:r w:rsidRPr="000012F9">
        <w:rPr>
          <w:rFonts w:eastAsia="Arial" w:cstheme="minorHAnsi"/>
          <w:color w:val="000000"/>
        </w:rPr>
        <w:t xml:space="preserve"> providing communication of and access to evidence</w:t>
      </w:r>
    </w:p>
    <w:p w14:paraId="5F58DC15" w14:textId="77777777" w:rsidR="00A474EC" w:rsidRPr="000012F9" w:rsidRDefault="00A474EC" w:rsidP="00A474EC">
      <w:pPr>
        <w:numPr>
          <w:ilvl w:val="0"/>
          <w:numId w:val="1"/>
        </w:numPr>
        <w:pBdr>
          <w:top w:val="nil"/>
          <w:left w:val="nil"/>
          <w:bottom w:val="nil"/>
          <w:right w:val="nil"/>
          <w:between w:val="nil"/>
        </w:pBdr>
        <w:spacing w:after="0" w:line="240" w:lineRule="auto"/>
        <w:rPr>
          <w:rFonts w:eastAsia="Arial" w:cstheme="minorHAnsi"/>
          <w:color w:val="000000"/>
        </w:rPr>
      </w:pPr>
      <w:r w:rsidRPr="000012F9">
        <w:rPr>
          <w:rFonts w:eastAsia="Arial" w:cstheme="minorHAnsi"/>
          <w:b/>
          <w:bCs/>
          <w:color w:val="000000"/>
        </w:rPr>
        <w:t>Interact:</w:t>
      </w:r>
      <w:r w:rsidRPr="000012F9">
        <w:rPr>
          <w:rFonts w:eastAsia="Arial" w:cstheme="minorHAnsi"/>
          <w:color w:val="000000"/>
        </w:rPr>
        <w:t xml:space="preserve"> facilitating interactions between decision-makers and researchers </w:t>
      </w:r>
    </w:p>
    <w:p w14:paraId="6F0006E4" w14:textId="77777777" w:rsidR="00A474EC" w:rsidRPr="000012F9" w:rsidRDefault="00A474EC" w:rsidP="00A474EC">
      <w:pPr>
        <w:numPr>
          <w:ilvl w:val="0"/>
          <w:numId w:val="1"/>
        </w:numPr>
        <w:pBdr>
          <w:top w:val="nil"/>
          <w:left w:val="nil"/>
          <w:bottom w:val="nil"/>
          <w:right w:val="nil"/>
          <w:between w:val="nil"/>
        </w:pBdr>
        <w:spacing w:after="0" w:line="240" w:lineRule="auto"/>
        <w:rPr>
          <w:rFonts w:eastAsia="Arial" w:cstheme="minorHAnsi"/>
          <w:color w:val="000000"/>
        </w:rPr>
      </w:pPr>
      <w:r w:rsidRPr="000012F9">
        <w:rPr>
          <w:rFonts w:eastAsia="Arial" w:cstheme="minorHAnsi"/>
          <w:b/>
          <w:bCs/>
          <w:color w:val="000000"/>
        </w:rPr>
        <w:t>Skills:</w:t>
      </w:r>
      <w:r w:rsidRPr="000012F9">
        <w:rPr>
          <w:rFonts w:eastAsia="Arial" w:cstheme="minorHAnsi"/>
          <w:color w:val="000000"/>
        </w:rPr>
        <w:t xml:space="preserve"> supporting decision-makers to develop skills in accessing and making sense of evidence</w:t>
      </w:r>
    </w:p>
    <w:p w14:paraId="6F153CEE" w14:textId="77777777" w:rsidR="00A474EC" w:rsidRPr="000012F9" w:rsidRDefault="00A474EC" w:rsidP="00A474EC">
      <w:pPr>
        <w:numPr>
          <w:ilvl w:val="0"/>
          <w:numId w:val="1"/>
        </w:numPr>
        <w:pBdr>
          <w:top w:val="nil"/>
          <w:left w:val="nil"/>
          <w:bottom w:val="nil"/>
          <w:right w:val="nil"/>
          <w:between w:val="nil"/>
        </w:pBdr>
        <w:spacing w:after="200" w:line="240" w:lineRule="auto"/>
        <w:rPr>
          <w:rFonts w:eastAsia="Arial" w:cstheme="minorHAnsi"/>
          <w:color w:val="000000"/>
        </w:rPr>
      </w:pPr>
      <w:r w:rsidRPr="000012F9">
        <w:rPr>
          <w:rFonts w:eastAsia="Arial" w:cstheme="minorHAnsi"/>
          <w:b/>
          <w:bCs/>
          <w:color w:val="000000"/>
        </w:rPr>
        <w:t>Structures and processes:</w:t>
      </w:r>
      <w:r w:rsidRPr="000012F9">
        <w:rPr>
          <w:rFonts w:eastAsia="Arial" w:cstheme="minorHAnsi"/>
          <w:color w:val="000000"/>
        </w:rPr>
        <w:t xml:space="preserve"> influencing decision-making structures and their processes.</w:t>
      </w:r>
    </w:p>
    <w:p w14:paraId="1CCF6A14" w14:textId="77777777" w:rsidR="00A474EC" w:rsidRPr="000012F9" w:rsidRDefault="00A474EC" w:rsidP="00A474EC">
      <w:pPr>
        <w:rPr>
          <w:rFonts w:cstheme="minorHAnsi"/>
        </w:rPr>
      </w:pPr>
    </w:p>
    <w:p w14:paraId="5C253F3B" w14:textId="77777777" w:rsidR="00A474EC" w:rsidRPr="00A474EC" w:rsidRDefault="00A474EC" w:rsidP="00A474EC">
      <w:r w:rsidRPr="00A474EC">
        <w:t>We will identify evidence-based approaches within this and other frameworks to promote knowledge mobilisation of the findings of our HPRUs.</w:t>
      </w:r>
    </w:p>
    <w:p w14:paraId="5E928F1B" w14:textId="21A8F599" w:rsidR="00C96C6D" w:rsidRDefault="00A474EC" w:rsidP="00332C7D">
      <w:pPr>
        <w:rPr>
          <w:iCs/>
        </w:rPr>
      </w:pPr>
      <w:r>
        <w:rPr>
          <w:iCs/>
        </w:rPr>
        <w:t xml:space="preserve">The NIHR website </w:t>
      </w:r>
      <w:hyperlink r:id="rId11" w:history="1">
        <w:r w:rsidRPr="00286C3F">
          <w:rPr>
            <w:rStyle w:val="Hyperlink"/>
            <w:iCs/>
          </w:rPr>
          <w:t>https://www.nihr.ac.uk/documents/knowledge-mobilisation-research/22598</w:t>
        </w:r>
      </w:hyperlink>
      <w:r>
        <w:rPr>
          <w:iCs/>
        </w:rPr>
        <w:t xml:space="preserve"> has an extensive reading list organised by topic area if you want further</w:t>
      </w:r>
      <w:r w:rsidR="00FE0E98">
        <w:rPr>
          <w:iCs/>
        </w:rPr>
        <w:t xml:space="preserve"> information on the top</w:t>
      </w:r>
      <w:r w:rsidR="00E52908">
        <w:rPr>
          <w:iCs/>
        </w:rPr>
        <w:t>ic</w:t>
      </w:r>
      <w:r>
        <w:rPr>
          <w:iCs/>
        </w:rPr>
        <w:t>.</w:t>
      </w:r>
    </w:p>
    <w:p w14:paraId="52526761" w14:textId="3E54E42E" w:rsidR="005C246E" w:rsidRDefault="005C246E">
      <w:pPr>
        <w:rPr>
          <w:iCs/>
        </w:rPr>
      </w:pPr>
      <w:r>
        <w:rPr>
          <w:iCs/>
        </w:rPr>
        <w:br w:type="page"/>
      </w:r>
    </w:p>
    <w:p w14:paraId="1A9F2453" w14:textId="54CD8573" w:rsidR="005C246E" w:rsidRDefault="005C246E" w:rsidP="005C246E">
      <w:pPr>
        <w:jc w:val="center"/>
        <w:rPr>
          <w:rFonts w:ascii="Arial" w:eastAsia="Arial" w:hAnsi="Arial" w:cs="Arial"/>
          <w:b/>
          <w:sz w:val="24"/>
          <w:szCs w:val="24"/>
        </w:rPr>
      </w:pPr>
      <w:r>
        <w:rPr>
          <w:rFonts w:ascii="Arial" w:eastAsia="Arial" w:hAnsi="Arial" w:cs="Arial"/>
          <w:b/>
          <w:sz w:val="24"/>
          <w:szCs w:val="24"/>
        </w:rPr>
        <w:lastRenderedPageBreak/>
        <w:t>APPENDIX 2</w:t>
      </w:r>
    </w:p>
    <w:p w14:paraId="66414DCE" w14:textId="77777777" w:rsidR="005C246E" w:rsidRDefault="005C246E" w:rsidP="005C246E">
      <w:pPr>
        <w:jc w:val="center"/>
        <w:rPr>
          <w:rFonts w:ascii="Arial" w:eastAsia="Arial" w:hAnsi="Arial" w:cs="Arial"/>
          <w:b/>
          <w:sz w:val="24"/>
          <w:szCs w:val="24"/>
        </w:rPr>
      </w:pPr>
      <w:r>
        <w:rPr>
          <w:rFonts w:ascii="Arial" w:eastAsia="Arial" w:hAnsi="Arial" w:cs="Arial"/>
          <w:b/>
          <w:sz w:val="24"/>
          <w:szCs w:val="24"/>
        </w:rPr>
        <w:t>HRPU KM – Interim Reporting requirements – Year 20/21</w:t>
      </w:r>
    </w:p>
    <w:tbl>
      <w:tblPr>
        <w:tblW w:w="9021"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A0" w:firstRow="1" w:lastRow="0" w:firstColumn="1" w:lastColumn="0" w:noHBand="0" w:noVBand="1"/>
      </w:tblPr>
      <w:tblGrid>
        <w:gridCol w:w="3823"/>
        <w:gridCol w:w="5198"/>
      </w:tblGrid>
      <w:tr w:rsidR="005C246E" w14:paraId="6CA486EB" w14:textId="77777777" w:rsidTr="00444B8E">
        <w:tc>
          <w:tcPr>
            <w:tcW w:w="9021" w:type="dxa"/>
            <w:gridSpan w:val="2"/>
            <w:tcBorders>
              <w:right w:val="single" w:sz="4" w:space="0" w:color="000000"/>
            </w:tcBorders>
            <w:shd w:val="clear" w:color="auto" w:fill="9CC3E5"/>
          </w:tcPr>
          <w:p w14:paraId="7252C6E0" w14:textId="77777777" w:rsidR="005C246E" w:rsidRDefault="005C246E" w:rsidP="005C246E">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Understanding the KM capacity and capability within the HPRU</w:t>
            </w:r>
          </w:p>
        </w:tc>
      </w:tr>
      <w:tr w:rsidR="005C246E" w14:paraId="5F90654E" w14:textId="77777777" w:rsidTr="00444B8E">
        <w:trPr>
          <w:trHeight w:val="240"/>
        </w:trPr>
        <w:tc>
          <w:tcPr>
            <w:tcW w:w="9021" w:type="dxa"/>
            <w:gridSpan w:val="2"/>
            <w:tcBorders>
              <w:right w:val="single" w:sz="4" w:space="0" w:color="000000"/>
            </w:tcBorders>
          </w:tcPr>
          <w:p w14:paraId="7ED8D5D6" w14:textId="77777777" w:rsidR="005C246E" w:rsidRDefault="005C246E" w:rsidP="005C246E">
            <w:pPr>
              <w:numPr>
                <w:ilvl w:val="0"/>
                <w:numId w:val="12"/>
              </w:numPr>
              <w:spacing w:after="0" w:line="240" w:lineRule="auto"/>
              <w:ind w:left="566"/>
              <w:rPr>
                <w:rFonts w:ascii="Arial" w:eastAsia="Arial" w:hAnsi="Arial" w:cs="Arial"/>
              </w:rPr>
            </w:pPr>
            <w:r>
              <w:rPr>
                <w:rFonts w:ascii="Arial" w:eastAsia="Arial" w:hAnsi="Arial" w:cs="Arial"/>
              </w:rPr>
              <w:t>KM lead</w:t>
            </w:r>
          </w:p>
        </w:tc>
      </w:tr>
      <w:tr w:rsidR="005C246E" w14:paraId="3947EF51" w14:textId="77777777" w:rsidTr="00444B8E">
        <w:tc>
          <w:tcPr>
            <w:tcW w:w="3823" w:type="dxa"/>
            <w:tcBorders>
              <w:right w:val="single" w:sz="4" w:space="0" w:color="000000"/>
            </w:tcBorders>
          </w:tcPr>
          <w:p w14:paraId="418B5733"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Working T</w:t>
            </w:r>
            <w:r>
              <w:rPr>
                <w:rFonts w:ascii="Arial" w:eastAsia="Arial" w:hAnsi="Arial" w:cs="Arial"/>
              </w:rPr>
              <w:t xml:space="preserve">ime </w:t>
            </w:r>
            <w:r>
              <w:rPr>
                <w:rFonts w:ascii="Arial" w:eastAsia="Arial" w:hAnsi="Arial" w:cs="Arial"/>
                <w:color w:val="000000"/>
              </w:rPr>
              <w:t>Equivalent</w:t>
            </w:r>
          </w:p>
        </w:tc>
        <w:tc>
          <w:tcPr>
            <w:tcW w:w="5198" w:type="dxa"/>
            <w:tcBorders>
              <w:left w:val="single" w:sz="4" w:space="0" w:color="000000"/>
              <w:right w:val="single" w:sz="4" w:space="0" w:color="000000"/>
            </w:tcBorders>
          </w:tcPr>
          <w:p w14:paraId="199D0EA7" w14:textId="77777777" w:rsidR="005C246E" w:rsidRDefault="005C246E" w:rsidP="00444B8E">
            <w:pPr>
              <w:rPr>
                <w:rFonts w:ascii="Arial" w:eastAsia="Arial" w:hAnsi="Arial" w:cs="Arial"/>
                <w:sz w:val="24"/>
                <w:szCs w:val="24"/>
              </w:rPr>
            </w:pPr>
          </w:p>
        </w:tc>
      </w:tr>
      <w:tr w:rsidR="005C246E" w14:paraId="35B288AD" w14:textId="77777777" w:rsidTr="00444B8E">
        <w:tc>
          <w:tcPr>
            <w:tcW w:w="3823" w:type="dxa"/>
            <w:tcBorders>
              <w:right w:val="single" w:sz="4" w:space="0" w:color="000000"/>
            </w:tcBorders>
          </w:tcPr>
          <w:p w14:paraId="17B4B751"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Relevant expertise </w:t>
            </w:r>
            <w:r>
              <w:rPr>
                <w:rFonts w:ascii="Arial" w:eastAsia="Arial" w:hAnsi="Arial" w:cs="Arial"/>
              </w:rPr>
              <w:t>(training or direct experience in KM)</w:t>
            </w:r>
          </w:p>
        </w:tc>
        <w:tc>
          <w:tcPr>
            <w:tcW w:w="5198" w:type="dxa"/>
            <w:tcBorders>
              <w:top w:val="single" w:sz="4" w:space="0" w:color="4472C4"/>
              <w:left w:val="single" w:sz="4" w:space="0" w:color="000000"/>
              <w:bottom w:val="single" w:sz="4" w:space="0" w:color="4472C4"/>
              <w:right w:val="single" w:sz="4" w:space="0" w:color="000000"/>
            </w:tcBorders>
          </w:tcPr>
          <w:p w14:paraId="0AE95D72" w14:textId="77777777" w:rsidR="005C246E" w:rsidRDefault="005C246E" w:rsidP="00444B8E">
            <w:pPr>
              <w:rPr>
                <w:rFonts w:ascii="Arial" w:eastAsia="Arial" w:hAnsi="Arial" w:cs="Arial"/>
                <w:sz w:val="24"/>
                <w:szCs w:val="24"/>
              </w:rPr>
            </w:pPr>
          </w:p>
        </w:tc>
      </w:tr>
      <w:tr w:rsidR="005C246E" w14:paraId="3DE5AC1D" w14:textId="77777777" w:rsidTr="00444B8E">
        <w:tc>
          <w:tcPr>
            <w:tcW w:w="3823" w:type="dxa"/>
            <w:tcBorders>
              <w:right w:val="single" w:sz="4" w:space="0" w:color="000000"/>
            </w:tcBorders>
          </w:tcPr>
          <w:p w14:paraId="1D321969"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Role within HPRU governance structure</w:t>
            </w:r>
          </w:p>
        </w:tc>
        <w:tc>
          <w:tcPr>
            <w:tcW w:w="5198" w:type="dxa"/>
            <w:tcBorders>
              <w:left w:val="single" w:sz="4" w:space="0" w:color="000000"/>
              <w:right w:val="single" w:sz="4" w:space="0" w:color="000000"/>
            </w:tcBorders>
          </w:tcPr>
          <w:p w14:paraId="26058C57" w14:textId="77777777" w:rsidR="005C246E" w:rsidRDefault="005C246E" w:rsidP="00444B8E">
            <w:pPr>
              <w:rPr>
                <w:rFonts w:ascii="Arial" w:eastAsia="Arial" w:hAnsi="Arial" w:cs="Arial"/>
                <w:sz w:val="24"/>
                <w:szCs w:val="24"/>
              </w:rPr>
            </w:pPr>
          </w:p>
        </w:tc>
      </w:tr>
      <w:tr w:rsidR="005C246E" w14:paraId="59483483" w14:textId="77777777" w:rsidTr="00444B8E">
        <w:tc>
          <w:tcPr>
            <w:tcW w:w="3823" w:type="dxa"/>
            <w:tcBorders>
              <w:right w:val="single" w:sz="4" w:space="0" w:color="000000"/>
            </w:tcBorders>
          </w:tcPr>
          <w:p w14:paraId="2F08AB74"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Contact details</w:t>
            </w:r>
          </w:p>
        </w:tc>
        <w:tc>
          <w:tcPr>
            <w:tcW w:w="5198" w:type="dxa"/>
            <w:tcBorders>
              <w:top w:val="single" w:sz="4" w:space="0" w:color="4472C4"/>
              <w:left w:val="single" w:sz="4" w:space="0" w:color="000000"/>
              <w:bottom w:val="single" w:sz="4" w:space="0" w:color="4472C4"/>
              <w:right w:val="single" w:sz="4" w:space="0" w:color="000000"/>
            </w:tcBorders>
          </w:tcPr>
          <w:p w14:paraId="7AA64F96" w14:textId="77777777" w:rsidR="005C246E" w:rsidRDefault="005C246E" w:rsidP="00444B8E">
            <w:pPr>
              <w:pBdr>
                <w:top w:val="nil"/>
                <w:left w:val="nil"/>
                <w:bottom w:val="nil"/>
                <w:right w:val="nil"/>
                <w:between w:val="nil"/>
              </w:pBdr>
              <w:ind w:left="1080"/>
              <w:rPr>
                <w:rFonts w:ascii="Arial" w:eastAsia="Arial" w:hAnsi="Arial" w:cs="Arial"/>
                <w:color w:val="000000"/>
                <w:sz w:val="24"/>
                <w:szCs w:val="24"/>
              </w:rPr>
            </w:pPr>
          </w:p>
        </w:tc>
      </w:tr>
      <w:tr w:rsidR="005C246E" w14:paraId="02AC8650" w14:textId="77777777" w:rsidTr="00444B8E">
        <w:tc>
          <w:tcPr>
            <w:tcW w:w="3823" w:type="dxa"/>
            <w:tcBorders>
              <w:right w:val="single" w:sz="4" w:space="0" w:color="000000"/>
            </w:tcBorders>
          </w:tcPr>
          <w:p w14:paraId="42136BB8" w14:textId="77777777" w:rsidR="005C246E" w:rsidRDefault="005C246E" w:rsidP="00444B8E">
            <w:pPr>
              <w:ind w:left="720"/>
              <w:rPr>
                <w:rFonts w:ascii="Arial" w:eastAsia="Arial" w:hAnsi="Arial" w:cs="Arial"/>
              </w:rPr>
            </w:pPr>
            <w:r>
              <w:rPr>
                <w:rFonts w:ascii="Arial" w:eastAsia="Arial" w:hAnsi="Arial" w:cs="Arial"/>
              </w:rPr>
              <w:t>Communications team</w:t>
            </w:r>
          </w:p>
        </w:tc>
        <w:tc>
          <w:tcPr>
            <w:tcW w:w="5198" w:type="dxa"/>
            <w:tcBorders>
              <w:left w:val="single" w:sz="4" w:space="0" w:color="000000"/>
              <w:right w:val="single" w:sz="4" w:space="0" w:color="000000"/>
            </w:tcBorders>
          </w:tcPr>
          <w:p w14:paraId="7E183B6B" w14:textId="77777777" w:rsidR="005C246E" w:rsidRDefault="005C246E" w:rsidP="00444B8E">
            <w:pPr>
              <w:pBdr>
                <w:top w:val="nil"/>
                <w:left w:val="nil"/>
                <w:bottom w:val="nil"/>
                <w:right w:val="nil"/>
                <w:between w:val="nil"/>
              </w:pBdr>
              <w:ind w:left="1080"/>
              <w:rPr>
                <w:rFonts w:ascii="Arial" w:eastAsia="Arial" w:hAnsi="Arial" w:cs="Arial"/>
                <w:b/>
                <w:color w:val="000000"/>
                <w:sz w:val="24"/>
                <w:szCs w:val="24"/>
              </w:rPr>
            </w:pPr>
          </w:p>
        </w:tc>
      </w:tr>
      <w:tr w:rsidR="005C246E" w14:paraId="5DED7364" w14:textId="77777777" w:rsidTr="00444B8E">
        <w:tc>
          <w:tcPr>
            <w:tcW w:w="3823" w:type="dxa"/>
            <w:tcBorders>
              <w:right w:val="single" w:sz="4" w:space="0" w:color="000000"/>
            </w:tcBorders>
          </w:tcPr>
          <w:p w14:paraId="2FA96A14"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WTE</w:t>
            </w:r>
          </w:p>
        </w:tc>
        <w:tc>
          <w:tcPr>
            <w:tcW w:w="5198" w:type="dxa"/>
            <w:tcBorders>
              <w:top w:val="single" w:sz="4" w:space="0" w:color="4472C4"/>
              <w:left w:val="single" w:sz="4" w:space="0" w:color="000000"/>
              <w:bottom w:val="single" w:sz="4" w:space="0" w:color="4472C4"/>
              <w:right w:val="single" w:sz="4" w:space="0" w:color="000000"/>
            </w:tcBorders>
          </w:tcPr>
          <w:p w14:paraId="115751E5" w14:textId="77777777" w:rsidR="005C246E" w:rsidRDefault="005C246E" w:rsidP="00444B8E">
            <w:pPr>
              <w:pBdr>
                <w:top w:val="nil"/>
                <w:left w:val="nil"/>
                <w:bottom w:val="nil"/>
                <w:right w:val="nil"/>
                <w:between w:val="nil"/>
              </w:pBdr>
              <w:ind w:left="1080"/>
              <w:rPr>
                <w:rFonts w:ascii="Arial" w:eastAsia="Arial" w:hAnsi="Arial" w:cs="Arial"/>
                <w:color w:val="000000"/>
                <w:sz w:val="24"/>
                <w:szCs w:val="24"/>
              </w:rPr>
            </w:pPr>
          </w:p>
        </w:tc>
      </w:tr>
      <w:tr w:rsidR="005C246E" w14:paraId="2C6A409B" w14:textId="77777777" w:rsidTr="00444B8E">
        <w:tc>
          <w:tcPr>
            <w:tcW w:w="3823" w:type="dxa"/>
            <w:tcBorders>
              <w:right w:val="single" w:sz="4" w:space="0" w:color="000000"/>
            </w:tcBorders>
          </w:tcPr>
          <w:p w14:paraId="79709BD1"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Budget for dissemination </w:t>
            </w:r>
            <w:r>
              <w:rPr>
                <w:rFonts w:ascii="Arial" w:eastAsia="Arial" w:hAnsi="Arial" w:cs="Arial"/>
              </w:rPr>
              <w:t>and KM</w:t>
            </w:r>
            <w:r>
              <w:rPr>
                <w:rFonts w:ascii="Arial" w:eastAsia="Arial" w:hAnsi="Arial" w:cs="Arial"/>
                <w:color w:val="000000"/>
              </w:rPr>
              <w:t xml:space="preserve"> activities</w:t>
            </w:r>
          </w:p>
        </w:tc>
        <w:tc>
          <w:tcPr>
            <w:tcW w:w="5198" w:type="dxa"/>
            <w:tcBorders>
              <w:left w:val="single" w:sz="4" w:space="0" w:color="000000"/>
              <w:right w:val="single" w:sz="4" w:space="0" w:color="000000"/>
            </w:tcBorders>
          </w:tcPr>
          <w:p w14:paraId="70168E9E" w14:textId="77777777" w:rsidR="005C246E" w:rsidRDefault="005C246E" w:rsidP="00444B8E">
            <w:pPr>
              <w:pBdr>
                <w:top w:val="nil"/>
                <w:left w:val="nil"/>
                <w:bottom w:val="nil"/>
                <w:right w:val="nil"/>
                <w:between w:val="nil"/>
              </w:pBdr>
              <w:ind w:left="1080"/>
              <w:rPr>
                <w:rFonts w:ascii="Arial" w:eastAsia="Arial" w:hAnsi="Arial" w:cs="Arial"/>
                <w:color w:val="000000"/>
                <w:sz w:val="24"/>
                <w:szCs w:val="24"/>
              </w:rPr>
            </w:pPr>
          </w:p>
        </w:tc>
      </w:tr>
      <w:tr w:rsidR="005C246E" w14:paraId="1358BF65" w14:textId="77777777" w:rsidTr="00444B8E">
        <w:tc>
          <w:tcPr>
            <w:tcW w:w="3823" w:type="dxa"/>
            <w:tcBorders>
              <w:right w:val="single" w:sz="4" w:space="0" w:color="000000"/>
            </w:tcBorders>
          </w:tcPr>
          <w:p w14:paraId="033D41DF" w14:textId="77777777" w:rsidR="005C246E" w:rsidRDefault="005C246E" w:rsidP="00444B8E">
            <w:pPr>
              <w:ind w:left="720"/>
              <w:rPr>
                <w:rFonts w:ascii="Arial" w:eastAsia="Arial" w:hAnsi="Arial" w:cs="Arial"/>
              </w:rPr>
            </w:pPr>
            <w:r>
              <w:rPr>
                <w:rFonts w:ascii="Arial" w:eastAsia="Arial" w:hAnsi="Arial" w:cs="Arial"/>
              </w:rPr>
              <w:t xml:space="preserve">Other support for KM </w:t>
            </w:r>
          </w:p>
        </w:tc>
        <w:tc>
          <w:tcPr>
            <w:tcW w:w="5198" w:type="dxa"/>
            <w:tcBorders>
              <w:top w:val="single" w:sz="4" w:space="0" w:color="4472C4"/>
              <w:left w:val="single" w:sz="4" w:space="0" w:color="000000"/>
              <w:bottom w:val="single" w:sz="4" w:space="0" w:color="4472C4"/>
              <w:right w:val="single" w:sz="4" w:space="0" w:color="000000"/>
            </w:tcBorders>
          </w:tcPr>
          <w:p w14:paraId="6014A708" w14:textId="77777777" w:rsidR="005C246E" w:rsidRDefault="005C246E" w:rsidP="00444B8E">
            <w:pPr>
              <w:pBdr>
                <w:top w:val="nil"/>
                <w:left w:val="nil"/>
                <w:bottom w:val="nil"/>
                <w:right w:val="nil"/>
                <w:between w:val="nil"/>
              </w:pBdr>
              <w:ind w:left="1080"/>
              <w:rPr>
                <w:rFonts w:ascii="Arial" w:eastAsia="Arial" w:hAnsi="Arial" w:cs="Arial"/>
                <w:b/>
                <w:color w:val="000000"/>
                <w:sz w:val="24"/>
                <w:szCs w:val="24"/>
              </w:rPr>
            </w:pPr>
          </w:p>
        </w:tc>
      </w:tr>
      <w:tr w:rsidR="005C246E" w14:paraId="7BBBFB71" w14:textId="77777777" w:rsidTr="00444B8E">
        <w:tc>
          <w:tcPr>
            <w:tcW w:w="3823" w:type="dxa"/>
            <w:tcBorders>
              <w:right w:val="single" w:sz="4" w:space="0" w:color="000000"/>
            </w:tcBorders>
          </w:tcPr>
          <w:p w14:paraId="4EB335DF"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WTE</w:t>
            </w:r>
          </w:p>
        </w:tc>
        <w:tc>
          <w:tcPr>
            <w:tcW w:w="5198" w:type="dxa"/>
            <w:tcBorders>
              <w:left w:val="single" w:sz="4" w:space="0" w:color="000000"/>
              <w:right w:val="single" w:sz="4" w:space="0" w:color="000000"/>
            </w:tcBorders>
          </w:tcPr>
          <w:p w14:paraId="4C267DFC" w14:textId="77777777" w:rsidR="005C246E" w:rsidRDefault="005C246E" w:rsidP="00444B8E">
            <w:pPr>
              <w:pBdr>
                <w:top w:val="nil"/>
                <w:left w:val="nil"/>
                <w:bottom w:val="nil"/>
                <w:right w:val="nil"/>
                <w:between w:val="nil"/>
              </w:pBdr>
              <w:ind w:left="1800"/>
              <w:rPr>
                <w:rFonts w:ascii="Arial" w:eastAsia="Arial" w:hAnsi="Arial" w:cs="Arial"/>
                <w:color w:val="000000"/>
                <w:sz w:val="24"/>
                <w:szCs w:val="24"/>
              </w:rPr>
            </w:pPr>
          </w:p>
        </w:tc>
      </w:tr>
      <w:tr w:rsidR="005C246E" w14:paraId="2BE9F602" w14:textId="77777777" w:rsidTr="00444B8E">
        <w:tc>
          <w:tcPr>
            <w:tcW w:w="3823" w:type="dxa"/>
            <w:tcBorders>
              <w:right w:val="single" w:sz="4" w:space="0" w:color="000000"/>
            </w:tcBorders>
          </w:tcPr>
          <w:p w14:paraId="75AA2884" w14:textId="77777777" w:rsidR="005C246E" w:rsidRDefault="005C246E" w:rsidP="005C246E">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Description (e.g</w:t>
            </w:r>
            <w:r>
              <w:rPr>
                <w:rFonts w:ascii="Arial" w:eastAsia="Arial" w:hAnsi="Arial" w:cs="Arial"/>
              </w:rPr>
              <w:t>. other staff/students)</w:t>
            </w:r>
          </w:p>
        </w:tc>
        <w:tc>
          <w:tcPr>
            <w:tcW w:w="5198" w:type="dxa"/>
            <w:tcBorders>
              <w:top w:val="single" w:sz="4" w:space="0" w:color="4472C4"/>
              <w:left w:val="single" w:sz="4" w:space="0" w:color="000000"/>
              <w:bottom w:val="single" w:sz="4" w:space="0" w:color="4472C4"/>
              <w:right w:val="single" w:sz="4" w:space="0" w:color="000000"/>
            </w:tcBorders>
          </w:tcPr>
          <w:p w14:paraId="1BE14392" w14:textId="77777777" w:rsidR="005C246E" w:rsidRDefault="005C246E" w:rsidP="00444B8E">
            <w:pPr>
              <w:pBdr>
                <w:top w:val="nil"/>
                <w:left w:val="nil"/>
                <w:bottom w:val="nil"/>
                <w:right w:val="nil"/>
                <w:between w:val="nil"/>
              </w:pBdr>
              <w:ind w:left="1800"/>
              <w:rPr>
                <w:rFonts w:ascii="Arial" w:eastAsia="Arial" w:hAnsi="Arial" w:cs="Arial"/>
                <w:color w:val="000000"/>
                <w:sz w:val="24"/>
                <w:szCs w:val="24"/>
              </w:rPr>
            </w:pPr>
          </w:p>
        </w:tc>
      </w:tr>
      <w:tr w:rsidR="005C246E" w14:paraId="0D45D192" w14:textId="77777777" w:rsidTr="00444B8E">
        <w:tc>
          <w:tcPr>
            <w:tcW w:w="3823" w:type="dxa"/>
            <w:tcBorders>
              <w:right w:val="single" w:sz="4" w:space="0" w:color="000000"/>
            </w:tcBorders>
            <w:shd w:val="clear" w:color="auto" w:fill="9CC3E5"/>
          </w:tcPr>
          <w:p w14:paraId="498F6685" w14:textId="77777777" w:rsidR="005C246E" w:rsidRDefault="005C246E" w:rsidP="00444B8E">
            <w:pPr>
              <w:rPr>
                <w:rFonts w:ascii="Arial" w:eastAsia="Arial" w:hAnsi="Arial" w:cs="Arial"/>
                <w:sz w:val="24"/>
                <w:szCs w:val="24"/>
              </w:rPr>
            </w:pPr>
          </w:p>
        </w:tc>
        <w:tc>
          <w:tcPr>
            <w:tcW w:w="5198" w:type="dxa"/>
            <w:tcBorders>
              <w:left w:val="single" w:sz="4" w:space="0" w:color="000000"/>
              <w:right w:val="single" w:sz="4" w:space="0" w:color="000000"/>
            </w:tcBorders>
            <w:shd w:val="clear" w:color="auto" w:fill="9CC3E5"/>
          </w:tcPr>
          <w:p w14:paraId="1D5CD436" w14:textId="77777777" w:rsidR="005C246E" w:rsidRDefault="005C246E" w:rsidP="00444B8E">
            <w:pPr>
              <w:rPr>
                <w:rFonts w:ascii="Arial" w:eastAsia="Arial" w:hAnsi="Arial" w:cs="Arial"/>
                <w:b/>
                <w:sz w:val="24"/>
                <w:szCs w:val="24"/>
              </w:rPr>
            </w:pPr>
          </w:p>
        </w:tc>
      </w:tr>
      <w:tr w:rsidR="005C246E" w14:paraId="5FF35DC2" w14:textId="77777777" w:rsidTr="00444B8E">
        <w:tc>
          <w:tcPr>
            <w:tcW w:w="9021" w:type="dxa"/>
            <w:gridSpan w:val="2"/>
            <w:tcBorders>
              <w:right w:val="single" w:sz="4" w:space="0" w:color="000000"/>
            </w:tcBorders>
          </w:tcPr>
          <w:p w14:paraId="4A85791F" w14:textId="77777777" w:rsidR="005C246E" w:rsidRDefault="005C246E" w:rsidP="005C246E">
            <w:pPr>
              <w:numPr>
                <w:ilvl w:val="0"/>
                <w:numId w:val="14"/>
              </w:numPr>
              <w:spacing w:after="0"/>
              <w:rPr>
                <w:rFonts w:ascii="Arial" w:eastAsia="Arial" w:hAnsi="Arial" w:cs="Arial"/>
                <w:sz w:val="24"/>
                <w:szCs w:val="24"/>
              </w:rPr>
            </w:pPr>
            <w:r>
              <w:rPr>
                <w:rFonts w:ascii="Arial" w:eastAsia="Arial" w:hAnsi="Arial" w:cs="Arial"/>
                <w:sz w:val="24"/>
                <w:szCs w:val="24"/>
              </w:rPr>
              <w:t>Strategy</w:t>
            </w:r>
          </w:p>
          <w:p w14:paraId="7D84851B" w14:textId="77777777" w:rsidR="005C246E" w:rsidRDefault="005C246E" w:rsidP="00444B8E">
            <w:pPr>
              <w:ind w:left="708"/>
              <w:rPr>
                <w:rFonts w:ascii="Arial" w:eastAsia="Arial" w:hAnsi="Arial" w:cs="Arial"/>
                <w:sz w:val="24"/>
                <w:szCs w:val="24"/>
              </w:rPr>
            </w:pPr>
            <w:r>
              <w:rPr>
                <w:rFonts w:ascii="Arial" w:eastAsia="Arial" w:hAnsi="Arial" w:cs="Arial"/>
                <w:sz w:val="24"/>
                <w:szCs w:val="24"/>
              </w:rPr>
              <w:t>(</w:t>
            </w:r>
            <w:r>
              <w:rPr>
                <w:rFonts w:ascii="Arial" w:eastAsia="Arial" w:hAnsi="Arial" w:cs="Arial"/>
              </w:rPr>
              <w:t>up to 500 words)</w:t>
            </w:r>
          </w:p>
        </w:tc>
      </w:tr>
      <w:tr w:rsidR="005C246E" w14:paraId="13EE51FE" w14:textId="77777777" w:rsidTr="00444B8E">
        <w:tc>
          <w:tcPr>
            <w:tcW w:w="3823" w:type="dxa"/>
            <w:tcBorders>
              <w:right w:val="single" w:sz="4" w:space="0" w:color="000000"/>
            </w:tcBorders>
          </w:tcPr>
          <w:p w14:paraId="1660CC8C" w14:textId="77777777" w:rsidR="005C246E" w:rsidRDefault="005C246E" w:rsidP="00444B8E">
            <w:pPr>
              <w:rPr>
                <w:rFonts w:ascii="Arial" w:eastAsia="Arial" w:hAnsi="Arial" w:cs="Arial"/>
                <w:i/>
                <w:color w:val="000000"/>
                <w:sz w:val="24"/>
                <w:szCs w:val="24"/>
              </w:rPr>
            </w:pPr>
            <w:r>
              <w:rPr>
                <w:rFonts w:ascii="Arial" w:eastAsia="Arial" w:hAnsi="Arial" w:cs="Arial"/>
                <w:color w:val="000000"/>
              </w:rPr>
              <w:t xml:space="preserve">Please summarise your strategy for developing your dissemination and knowledge mobilisation capacity across the </w:t>
            </w:r>
            <w:r>
              <w:rPr>
                <w:rFonts w:ascii="Arial" w:eastAsia="Arial" w:hAnsi="Arial" w:cs="Arial"/>
                <w:i/>
                <w:color w:val="000000"/>
              </w:rPr>
              <w:t>duration of the HPRU contract</w:t>
            </w:r>
            <w:r>
              <w:rPr>
                <w:rFonts w:ascii="Arial" w:eastAsia="Arial" w:hAnsi="Arial" w:cs="Arial"/>
                <w:i/>
                <w:color w:val="000000"/>
                <w:sz w:val="24"/>
                <w:szCs w:val="24"/>
              </w:rPr>
              <w:t>.</w:t>
            </w:r>
          </w:p>
          <w:p w14:paraId="1A93CE02" w14:textId="77777777" w:rsidR="005C246E" w:rsidRDefault="005C246E" w:rsidP="00444B8E">
            <w:pPr>
              <w:rPr>
                <w:rFonts w:ascii="Arial" w:eastAsia="Arial" w:hAnsi="Arial" w:cs="Arial"/>
                <w:color w:val="000000"/>
                <w:sz w:val="24"/>
                <w:szCs w:val="24"/>
              </w:rPr>
            </w:pPr>
          </w:p>
          <w:p w14:paraId="3352F094" w14:textId="77777777" w:rsidR="005C246E" w:rsidRDefault="005C246E" w:rsidP="00444B8E">
            <w:pPr>
              <w:rPr>
                <w:rFonts w:ascii="Arial" w:eastAsia="Arial" w:hAnsi="Arial" w:cs="Arial"/>
                <w:color w:val="000000"/>
              </w:rPr>
            </w:pPr>
            <w:r>
              <w:rPr>
                <w:rFonts w:ascii="Arial" w:eastAsia="Arial" w:hAnsi="Arial" w:cs="Arial"/>
                <w:color w:val="000000"/>
              </w:rPr>
              <w:t>Attach your full strategy (if available) as an appendix</w:t>
            </w:r>
          </w:p>
          <w:p w14:paraId="0FE42D0B" w14:textId="77777777" w:rsidR="005C246E" w:rsidRDefault="005C246E" w:rsidP="00444B8E">
            <w:pPr>
              <w:rPr>
                <w:rFonts w:ascii="Arial" w:eastAsia="Arial" w:hAnsi="Arial" w:cs="Arial"/>
                <w:color w:val="000000"/>
              </w:rPr>
            </w:pPr>
          </w:p>
        </w:tc>
        <w:tc>
          <w:tcPr>
            <w:tcW w:w="5198" w:type="dxa"/>
            <w:tcBorders>
              <w:left w:val="single" w:sz="4" w:space="0" w:color="000000"/>
              <w:right w:val="single" w:sz="4" w:space="0" w:color="000000"/>
            </w:tcBorders>
          </w:tcPr>
          <w:p w14:paraId="3FA0B937" w14:textId="77777777" w:rsidR="005C246E" w:rsidRDefault="005C246E" w:rsidP="00444B8E">
            <w:pPr>
              <w:rPr>
                <w:rFonts w:ascii="Arial" w:eastAsia="Arial" w:hAnsi="Arial" w:cs="Arial"/>
                <w:color w:val="000000"/>
                <w:sz w:val="24"/>
                <w:szCs w:val="24"/>
              </w:rPr>
            </w:pPr>
          </w:p>
        </w:tc>
      </w:tr>
      <w:tr w:rsidR="005C246E" w14:paraId="728069B1" w14:textId="77777777" w:rsidTr="00444B8E">
        <w:tc>
          <w:tcPr>
            <w:tcW w:w="3823" w:type="dxa"/>
            <w:tcBorders>
              <w:right w:val="single" w:sz="4" w:space="0" w:color="000000"/>
            </w:tcBorders>
            <w:shd w:val="clear" w:color="auto" w:fill="9CC3E5"/>
          </w:tcPr>
          <w:p w14:paraId="38CC3D0A" w14:textId="77777777" w:rsidR="005C246E" w:rsidRDefault="005C246E" w:rsidP="00444B8E">
            <w:pPr>
              <w:rPr>
                <w:rFonts w:ascii="Arial" w:eastAsia="Arial" w:hAnsi="Arial" w:cs="Arial"/>
                <w:color w:val="000000"/>
                <w:sz w:val="24"/>
                <w:szCs w:val="24"/>
              </w:rPr>
            </w:pPr>
          </w:p>
        </w:tc>
        <w:tc>
          <w:tcPr>
            <w:tcW w:w="5198" w:type="dxa"/>
            <w:tcBorders>
              <w:top w:val="single" w:sz="4" w:space="0" w:color="4472C4"/>
              <w:left w:val="single" w:sz="4" w:space="0" w:color="000000"/>
              <w:bottom w:val="single" w:sz="4" w:space="0" w:color="4472C4"/>
              <w:right w:val="single" w:sz="4" w:space="0" w:color="000000"/>
            </w:tcBorders>
            <w:shd w:val="clear" w:color="auto" w:fill="9CC3E5"/>
          </w:tcPr>
          <w:p w14:paraId="0E4E7237" w14:textId="77777777" w:rsidR="005C246E" w:rsidRDefault="005C246E" w:rsidP="00444B8E">
            <w:pPr>
              <w:rPr>
                <w:rFonts w:ascii="Arial" w:eastAsia="Arial" w:hAnsi="Arial" w:cs="Arial"/>
                <w:color w:val="000000"/>
                <w:sz w:val="24"/>
                <w:szCs w:val="24"/>
              </w:rPr>
            </w:pPr>
          </w:p>
        </w:tc>
      </w:tr>
      <w:tr w:rsidR="005C246E" w14:paraId="2A34F36A" w14:textId="77777777" w:rsidTr="00444B8E">
        <w:trPr>
          <w:trHeight w:val="240"/>
        </w:trPr>
        <w:tc>
          <w:tcPr>
            <w:tcW w:w="9021" w:type="dxa"/>
            <w:gridSpan w:val="2"/>
            <w:tcBorders>
              <w:right w:val="single" w:sz="4" w:space="0" w:color="000000"/>
            </w:tcBorders>
          </w:tcPr>
          <w:p w14:paraId="4363909B" w14:textId="77777777" w:rsidR="005C246E" w:rsidRDefault="005C246E" w:rsidP="005C246E">
            <w:pPr>
              <w:numPr>
                <w:ilvl w:val="0"/>
                <w:numId w:val="1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Release of findings</w:t>
            </w:r>
          </w:p>
          <w:p w14:paraId="5DAF53F6" w14:textId="77777777" w:rsidR="005C246E" w:rsidRDefault="005C246E" w:rsidP="00444B8E">
            <w:pPr>
              <w:pBdr>
                <w:top w:val="nil"/>
                <w:left w:val="nil"/>
                <w:bottom w:val="nil"/>
                <w:right w:val="nil"/>
                <w:between w:val="nil"/>
              </w:pBdr>
              <w:ind w:left="708"/>
              <w:rPr>
                <w:rFonts w:ascii="Arial" w:eastAsia="Arial" w:hAnsi="Arial" w:cs="Arial"/>
                <w:sz w:val="24"/>
                <w:szCs w:val="24"/>
              </w:rPr>
            </w:pPr>
            <w:r>
              <w:rPr>
                <w:rFonts w:ascii="Arial" w:eastAsia="Arial" w:hAnsi="Arial" w:cs="Arial"/>
                <w:sz w:val="24"/>
                <w:szCs w:val="24"/>
              </w:rPr>
              <w:t>(</w:t>
            </w:r>
            <w:r>
              <w:rPr>
                <w:rFonts w:ascii="Arial" w:eastAsia="Arial" w:hAnsi="Arial" w:cs="Arial"/>
              </w:rPr>
              <w:t>up to 200 words)</w:t>
            </w:r>
          </w:p>
        </w:tc>
      </w:tr>
      <w:tr w:rsidR="005C246E" w14:paraId="7D013721" w14:textId="77777777" w:rsidTr="00444B8E">
        <w:trPr>
          <w:trHeight w:val="1104"/>
        </w:trPr>
        <w:tc>
          <w:tcPr>
            <w:tcW w:w="3823" w:type="dxa"/>
            <w:tcBorders>
              <w:right w:val="single" w:sz="4" w:space="0" w:color="000000"/>
            </w:tcBorders>
          </w:tcPr>
          <w:p w14:paraId="4C6AE453"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Overview of 20/21 activity and approach</w:t>
            </w:r>
          </w:p>
          <w:p w14:paraId="3BC6348C"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rPr>
              <w:t>Key achievements</w:t>
            </w:r>
          </w:p>
          <w:p w14:paraId="3DDAA405" w14:textId="77777777" w:rsidR="005C246E" w:rsidRDefault="005C246E" w:rsidP="005C246E">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Key challenges</w:t>
            </w:r>
          </w:p>
          <w:p w14:paraId="07D32066" w14:textId="77777777" w:rsidR="005C246E" w:rsidRDefault="005C246E" w:rsidP="00444B8E">
            <w:pPr>
              <w:rPr>
                <w:rFonts w:ascii="Arial" w:eastAsia="Arial" w:hAnsi="Arial" w:cs="Arial"/>
                <w:color w:val="000000"/>
                <w:sz w:val="24"/>
                <w:szCs w:val="24"/>
              </w:rPr>
            </w:pPr>
          </w:p>
        </w:tc>
        <w:tc>
          <w:tcPr>
            <w:tcW w:w="5198" w:type="dxa"/>
            <w:tcBorders>
              <w:top w:val="single" w:sz="4" w:space="0" w:color="4472C4"/>
              <w:left w:val="single" w:sz="4" w:space="0" w:color="000000"/>
              <w:right w:val="single" w:sz="4" w:space="0" w:color="000000"/>
            </w:tcBorders>
          </w:tcPr>
          <w:p w14:paraId="498E8E98" w14:textId="77777777" w:rsidR="005C246E" w:rsidRDefault="005C246E" w:rsidP="00444B8E">
            <w:pPr>
              <w:pBdr>
                <w:top w:val="nil"/>
                <w:left w:val="nil"/>
                <w:bottom w:val="nil"/>
                <w:right w:val="nil"/>
                <w:between w:val="nil"/>
              </w:pBdr>
              <w:ind w:left="1080"/>
              <w:rPr>
                <w:rFonts w:ascii="Arial" w:eastAsia="Arial" w:hAnsi="Arial" w:cs="Arial"/>
                <w:color w:val="000000"/>
                <w:sz w:val="24"/>
                <w:szCs w:val="24"/>
              </w:rPr>
            </w:pPr>
          </w:p>
        </w:tc>
      </w:tr>
      <w:tr w:rsidR="005C246E" w14:paraId="52E336F7" w14:textId="77777777" w:rsidTr="00444B8E">
        <w:tc>
          <w:tcPr>
            <w:tcW w:w="3823" w:type="dxa"/>
            <w:tcBorders>
              <w:right w:val="single" w:sz="4" w:space="0" w:color="000000"/>
            </w:tcBorders>
            <w:shd w:val="clear" w:color="auto" w:fill="9CC3E5"/>
          </w:tcPr>
          <w:p w14:paraId="32ACEBFE" w14:textId="77777777" w:rsidR="005C246E" w:rsidRDefault="005C246E" w:rsidP="00444B8E">
            <w:pPr>
              <w:pBdr>
                <w:top w:val="nil"/>
                <w:left w:val="nil"/>
                <w:bottom w:val="nil"/>
                <w:right w:val="nil"/>
                <w:between w:val="nil"/>
              </w:pBdr>
              <w:rPr>
                <w:rFonts w:ascii="Arial" w:eastAsia="Arial" w:hAnsi="Arial" w:cs="Arial"/>
                <w:color w:val="000000"/>
                <w:sz w:val="24"/>
                <w:szCs w:val="24"/>
              </w:rPr>
            </w:pPr>
          </w:p>
        </w:tc>
        <w:tc>
          <w:tcPr>
            <w:tcW w:w="5198" w:type="dxa"/>
            <w:tcBorders>
              <w:left w:val="single" w:sz="4" w:space="0" w:color="000000"/>
              <w:right w:val="single" w:sz="4" w:space="0" w:color="000000"/>
            </w:tcBorders>
            <w:shd w:val="clear" w:color="auto" w:fill="9CC3E5"/>
          </w:tcPr>
          <w:p w14:paraId="2EE6449E" w14:textId="77777777" w:rsidR="005C246E" w:rsidRDefault="005C246E" w:rsidP="00444B8E">
            <w:pPr>
              <w:pBdr>
                <w:top w:val="nil"/>
                <w:left w:val="nil"/>
                <w:bottom w:val="nil"/>
                <w:right w:val="nil"/>
                <w:between w:val="nil"/>
              </w:pBdr>
              <w:rPr>
                <w:rFonts w:ascii="Arial" w:eastAsia="Arial" w:hAnsi="Arial" w:cs="Arial"/>
                <w:b/>
                <w:color w:val="000000"/>
                <w:sz w:val="24"/>
                <w:szCs w:val="24"/>
              </w:rPr>
            </w:pPr>
          </w:p>
        </w:tc>
      </w:tr>
      <w:tr w:rsidR="005C246E" w14:paraId="7CFD4277" w14:textId="77777777" w:rsidTr="00444B8E">
        <w:tc>
          <w:tcPr>
            <w:tcW w:w="3823" w:type="dxa"/>
            <w:tcBorders>
              <w:right w:val="single" w:sz="4" w:space="0" w:color="000000"/>
            </w:tcBorders>
          </w:tcPr>
          <w:p w14:paraId="71C08C33" w14:textId="77777777" w:rsidR="005C246E" w:rsidRDefault="005C246E" w:rsidP="005C246E">
            <w:pPr>
              <w:numPr>
                <w:ilvl w:val="0"/>
                <w:numId w:val="1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Dissemination </w:t>
            </w:r>
          </w:p>
          <w:p w14:paraId="02CF8501" w14:textId="77777777" w:rsidR="005C246E" w:rsidRDefault="005C246E" w:rsidP="00444B8E">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rPr>
              <w:t>up to 200 words)</w:t>
            </w:r>
          </w:p>
        </w:tc>
        <w:tc>
          <w:tcPr>
            <w:tcW w:w="5198" w:type="dxa"/>
            <w:tcBorders>
              <w:top w:val="single" w:sz="4" w:space="0" w:color="4472C4"/>
              <w:left w:val="single" w:sz="4" w:space="0" w:color="000000"/>
              <w:bottom w:val="single" w:sz="4" w:space="0" w:color="4472C4"/>
              <w:right w:val="single" w:sz="4" w:space="0" w:color="000000"/>
            </w:tcBorders>
          </w:tcPr>
          <w:p w14:paraId="6E2E303B" w14:textId="77777777" w:rsidR="005C246E" w:rsidRDefault="005C246E" w:rsidP="00444B8E">
            <w:pPr>
              <w:pBdr>
                <w:top w:val="nil"/>
                <w:left w:val="nil"/>
                <w:bottom w:val="nil"/>
                <w:right w:val="nil"/>
                <w:between w:val="nil"/>
              </w:pBdr>
              <w:ind w:left="720"/>
              <w:rPr>
                <w:rFonts w:ascii="Arial" w:eastAsia="Arial" w:hAnsi="Arial" w:cs="Arial"/>
                <w:b/>
                <w:color w:val="000000"/>
                <w:sz w:val="24"/>
                <w:szCs w:val="24"/>
              </w:rPr>
            </w:pPr>
          </w:p>
        </w:tc>
      </w:tr>
      <w:tr w:rsidR="005C246E" w14:paraId="217C6038" w14:textId="77777777" w:rsidTr="00444B8E">
        <w:trPr>
          <w:trHeight w:val="1104"/>
        </w:trPr>
        <w:tc>
          <w:tcPr>
            <w:tcW w:w="3823" w:type="dxa"/>
            <w:tcBorders>
              <w:right w:val="single" w:sz="4" w:space="0" w:color="000000"/>
            </w:tcBorders>
          </w:tcPr>
          <w:p w14:paraId="1AEBC9E4"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Overview of 20/21 activity and approach</w:t>
            </w:r>
          </w:p>
          <w:p w14:paraId="62ACF0A4"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rPr>
              <w:t>Key achievements</w:t>
            </w:r>
            <w:r>
              <w:rPr>
                <w:rFonts w:ascii="Arial" w:eastAsia="Arial" w:hAnsi="Arial" w:cs="Arial"/>
                <w:color w:val="000000"/>
              </w:rPr>
              <w:t xml:space="preserve"> </w:t>
            </w:r>
          </w:p>
          <w:p w14:paraId="1F98A1FD" w14:textId="77777777" w:rsidR="005C246E" w:rsidRDefault="005C246E" w:rsidP="005C246E">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Key challenges</w:t>
            </w:r>
          </w:p>
        </w:tc>
        <w:tc>
          <w:tcPr>
            <w:tcW w:w="5198" w:type="dxa"/>
            <w:tcBorders>
              <w:left w:val="single" w:sz="4" w:space="0" w:color="000000"/>
              <w:right w:val="single" w:sz="4" w:space="0" w:color="000000"/>
            </w:tcBorders>
          </w:tcPr>
          <w:p w14:paraId="3D8B3BA8" w14:textId="77777777" w:rsidR="005C246E" w:rsidRDefault="005C246E" w:rsidP="00444B8E">
            <w:pPr>
              <w:pBdr>
                <w:top w:val="nil"/>
                <w:left w:val="nil"/>
                <w:bottom w:val="nil"/>
                <w:right w:val="nil"/>
                <w:between w:val="nil"/>
              </w:pBdr>
              <w:ind w:left="1080"/>
              <w:rPr>
                <w:rFonts w:ascii="Arial" w:eastAsia="Arial" w:hAnsi="Arial" w:cs="Arial"/>
                <w:color w:val="000000"/>
                <w:sz w:val="24"/>
                <w:szCs w:val="24"/>
              </w:rPr>
            </w:pPr>
          </w:p>
        </w:tc>
      </w:tr>
      <w:tr w:rsidR="005C246E" w14:paraId="1B58365C" w14:textId="77777777" w:rsidTr="00444B8E">
        <w:tc>
          <w:tcPr>
            <w:tcW w:w="3823" w:type="dxa"/>
            <w:tcBorders>
              <w:right w:val="single" w:sz="4" w:space="0" w:color="000000"/>
            </w:tcBorders>
            <w:shd w:val="clear" w:color="auto" w:fill="9CC3E5"/>
          </w:tcPr>
          <w:p w14:paraId="3B84030F" w14:textId="77777777" w:rsidR="005C246E" w:rsidRDefault="005C246E" w:rsidP="00444B8E">
            <w:pPr>
              <w:pBdr>
                <w:top w:val="nil"/>
                <w:left w:val="nil"/>
                <w:bottom w:val="nil"/>
                <w:right w:val="nil"/>
                <w:between w:val="nil"/>
              </w:pBdr>
              <w:rPr>
                <w:rFonts w:ascii="Arial" w:eastAsia="Arial" w:hAnsi="Arial" w:cs="Arial"/>
                <w:color w:val="000000"/>
                <w:sz w:val="24"/>
                <w:szCs w:val="24"/>
              </w:rPr>
            </w:pPr>
          </w:p>
        </w:tc>
        <w:tc>
          <w:tcPr>
            <w:tcW w:w="5198" w:type="dxa"/>
            <w:tcBorders>
              <w:top w:val="single" w:sz="4" w:space="0" w:color="4472C4"/>
              <w:left w:val="single" w:sz="4" w:space="0" w:color="000000"/>
              <w:bottom w:val="single" w:sz="4" w:space="0" w:color="4472C4"/>
              <w:right w:val="single" w:sz="4" w:space="0" w:color="000000"/>
            </w:tcBorders>
            <w:shd w:val="clear" w:color="auto" w:fill="9CC3E5"/>
          </w:tcPr>
          <w:p w14:paraId="52763190" w14:textId="77777777" w:rsidR="005C246E" w:rsidRDefault="005C246E" w:rsidP="00444B8E">
            <w:pPr>
              <w:pBdr>
                <w:top w:val="nil"/>
                <w:left w:val="nil"/>
                <w:bottom w:val="nil"/>
                <w:right w:val="nil"/>
                <w:between w:val="nil"/>
              </w:pBdr>
              <w:rPr>
                <w:rFonts w:ascii="Arial" w:eastAsia="Arial" w:hAnsi="Arial" w:cs="Arial"/>
                <w:b/>
                <w:color w:val="000000"/>
                <w:sz w:val="24"/>
                <w:szCs w:val="24"/>
              </w:rPr>
            </w:pPr>
          </w:p>
        </w:tc>
      </w:tr>
      <w:tr w:rsidR="005C246E" w14:paraId="0F2DCE63" w14:textId="77777777" w:rsidTr="00444B8E">
        <w:trPr>
          <w:trHeight w:val="240"/>
        </w:trPr>
        <w:tc>
          <w:tcPr>
            <w:tcW w:w="9021" w:type="dxa"/>
            <w:gridSpan w:val="2"/>
            <w:tcBorders>
              <w:right w:val="single" w:sz="4" w:space="0" w:color="000000"/>
            </w:tcBorders>
          </w:tcPr>
          <w:p w14:paraId="222A211E" w14:textId="77777777" w:rsidR="005C246E" w:rsidRDefault="005C246E" w:rsidP="005C246E">
            <w:pPr>
              <w:numPr>
                <w:ilvl w:val="0"/>
                <w:numId w:val="1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Knowledge mobilisation</w:t>
            </w:r>
            <w:r>
              <w:rPr>
                <w:rFonts w:ascii="Arial" w:eastAsia="Arial" w:hAnsi="Arial" w:cs="Arial"/>
                <w:sz w:val="24"/>
                <w:szCs w:val="24"/>
              </w:rPr>
              <w:t xml:space="preserve"> </w:t>
            </w:r>
          </w:p>
          <w:p w14:paraId="4545507E" w14:textId="77777777" w:rsidR="005C246E" w:rsidRDefault="005C246E" w:rsidP="00444B8E">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(up to 300 words)</w:t>
            </w:r>
          </w:p>
        </w:tc>
      </w:tr>
      <w:tr w:rsidR="005C246E" w14:paraId="2156208B" w14:textId="77777777" w:rsidTr="00444B8E">
        <w:trPr>
          <w:trHeight w:val="1012"/>
        </w:trPr>
        <w:tc>
          <w:tcPr>
            <w:tcW w:w="3823" w:type="dxa"/>
            <w:tcBorders>
              <w:right w:val="single" w:sz="4" w:space="0" w:color="000000"/>
            </w:tcBorders>
          </w:tcPr>
          <w:p w14:paraId="6B5372EB"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Overview of 20/21 activity and approach</w:t>
            </w:r>
          </w:p>
          <w:p w14:paraId="7B6CA218"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rPr>
              <w:t>Key achievements</w:t>
            </w:r>
          </w:p>
          <w:p w14:paraId="11937552"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Key challenges</w:t>
            </w:r>
          </w:p>
        </w:tc>
        <w:tc>
          <w:tcPr>
            <w:tcW w:w="5198" w:type="dxa"/>
            <w:tcBorders>
              <w:top w:val="single" w:sz="4" w:space="0" w:color="4472C4"/>
              <w:left w:val="single" w:sz="4" w:space="0" w:color="000000"/>
              <w:right w:val="single" w:sz="4" w:space="0" w:color="000000"/>
            </w:tcBorders>
          </w:tcPr>
          <w:p w14:paraId="61089557" w14:textId="77777777" w:rsidR="005C246E" w:rsidRDefault="005C246E" w:rsidP="00444B8E">
            <w:pPr>
              <w:pBdr>
                <w:top w:val="nil"/>
                <w:left w:val="nil"/>
                <w:bottom w:val="nil"/>
                <w:right w:val="nil"/>
                <w:between w:val="nil"/>
              </w:pBdr>
              <w:ind w:left="1080"/>
              <w:rPr>
                <w:rFonts w:ascii="Arial" w:eastAsia="Arial" w:hAnsi="Arial" w:cs="Arial"/>
                <w:color w:val="000000"/>
                <w:sz w:val="24"/>
                <w:szCs w:val="24"/>
              </w:rPr>
            </w:pPr>
          </w:p>
        </w:tc>
      </w:tr>
      <w:tr w:rsidR="005C246E" w14:paraId="0713DDDF" w14:textId="77777777" w:rsidTr="00444B8E">
        <w:tc>
          <w:tcPr>
            <w:tcW w:w="3823" w:type="dxa"/>
            <w:tcBorders>
              <w:right w:val="single" w:sz="4" w:space="0" w:color="000000"/>
            </w:tcBorders>
            <w:shd w:val="clear" w:color="auto" w:fill="9CC3E5"/>
          </w:tcPr>
          <w:p w14:paraId="002B4A98" w14:textId="77777777" w:rsidR="005C246E" w:rsidRDefault="005C246E" w:rsidP="00444B8E">
            <w:pPr>
              <w:pBdr>
                <w:top w:val="nil"/>
                <w:left w:val="nil"/>
                <w:bottom w:val="nil"/>
                <w:right w:val="nil"/>
                <w:between w:val="nil"/>
              </w:pBdr>
              <w:rPr>
                <w:rFonts w:ascii="Arial" w:eastAsia="Arial" w:hAnsi="Arial" w:cs="Arial"/>
                <w:color w:val="000000"/>
                <w:sz w:val="24"/>
                <w:szCs w:val="24"/>
              </w:rPr>
            </w:pPr>
            <w:bookmarkStart w:id="13" w:name="_heading=h.gjdgxs" w:colFirst="0" w:colLast="0"/>
            <w:bookmarkEnd w:id="13"/>
          </w:p>
        </w:tc>
        <w:tc>
          <w:tcPr>
            <w:tcW w:w="5198" w:type="dxa"/>
            <w:tcBorders>
              <w:left w:val="single" w:sz="4" w:space="0" w:color="000000"/>
              <w:right w:val="single" w:sz="4" w:space="0" w:color="000000"/>
            </w:tcBorders>
            <w:shd w:val="clear" w:color="auto" w:fill="9CC3E5"/>
          </w:tcPr>
          <w:p w14:paraId="17D95162" w14:textId="77777777" w:rsidR="005C246E" w:rsidRDefault="005C246E" w:rsidP="00444B8E">
            <w:pPr>
              <w:pBdr>
                <w:top w:val="nil"/>
                <w:left w:val="nil"/>
                <w:bottom w:val="nil"/>
                <w:right w:val="nil"/>
                <w:between w:val="nil"/>
              </w:pBdr>
              <w:rPr>
                <w:rFonts w:ascii="Arial" w:eastAsia="Arial" w:hAnsi="Arial" w:cs="Arial"/>
                <w:color w:val="000000"/>
                <w:sz w:val="24"/>
                <w:szCs w:val="24"/>
              </w:rPr>
            </w:pPr>
          </w:p>
        </w:tc>
      </w:tr>
      <w:tr w:rsidR="005C246E" w14:paraId="5CB361DA" w14:textId="77777777" w:rsidTr="00444B8E">
        <w:trPr>
          <w:trHeight w:val="240"/>
        </w:trPr>
        <w:tc>
          <w:tcPr>
            <w:tcW w:w="9021" w:type="dxa"/>
            <w:gridSpan w:val="2"/>
            <w:tcBorders>
              <w:right w:val="single" w:sz="4" w:space="0" w:color="000000"/>
            </w:tcBorders>
          </w:tcPr>
          <w:p w14:paraId="20335783" w14:textId="77777777" w:rsidR="005C246E" w:rsidRDefault="005C246E" w:rsidP="005C246E">
            <w:pPr>
              <w:numPr>
                <w:ilvl w:val="0"/>
                <w:numId w:val="1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Collaborations</w:t>
            </w:r>
          </w:p>
          <w:p w14:paraId="6CB0FBA9" w14:textId="77777777" w:rsidR="005C246E" w:rsidRDefault="005C246E" w:rsidP="00444B8E">
            <w:pPr>
              <w:ind w:left="720"/>
              <w:rPr>
                <w:rFonts w:ascii="Arial" w:eastAsia="Arial" w:hAnsi="Arial" w:cs="Arial"/>
                <w:sz w:val="24"/>
                <w:szCs w:val="24"/>
              </w:rPr>
            </w:pPr>
            <w:r>
              <w:rPr>
                <w:rFonts w:ascii="Arial" w:eastAsia="Arial" w:hAnsi="Arial" w:cs="Arial"/>
                <w:sz w:val="20"/>
                <w:szCs w:val="20"/>
              </w:rPr>
              <w:t>(up to 200 words)</w:t>
            </w:r>
          </w:p>
        </w:tc>
      </w:tr>
      <w:tr w:rsidR="005C246E" w14:paraId="4F549B80" w14:textId="77777777" w:rsidTr="00444B8E">
        <w:tc>
          <w:tcPr>
            <w:tcW w:w="3823" w:type="dxa"/>
            <w:tcBorders>
              <w:right w:val="single" w:sz="4" w:space="0" w:color="000000"/>
            </w:tcBorders>
          </w:tcPr>
          <w:p w14:paraId="68BDD1EB" w14:textId="77777777" w:rsidR="005C246E" w:rsidRDefault="005C246E" w:rsidP="00444B8E">
            <w:pPr>
              <w:rPr>
                <w:rFonts w:ascii="Arial" w:eastAsia="Arial" w:hAnsi="Arial" w:cs="Arial"/>
                <w:color w:val="000000"/>
              </w:rPr>
            </w:pPr>
            <w:r>
              <w:rPr>
                <w:rFonts w:ascii="Arial" w:eastAsia="Arial" w:hAnsi="Arial" w:cs="Arial"/>
                <w:color w:val="000000"/>
              </w:rPr>
              <w:t>These include partnerships that are supporting your knowledge mobilisation activity including other HPRUs, PHE, local authorities etc</w:t>
            </w:r>
          </w:p>
          <w:p w14:paraId="552B0986"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Overview of 20/21 activity and approach</w:t>
            </w:r>
          </w:p>
          <w:p w14:paraId="6F193BC2"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rPr>
              <w:t>Key achievements</w:t>
            </w:r>
            <w:r>
              <w:rPr>
                <w:rFonts w:ascii="Arial" w:eastAsia="Arial" w:hAnsi="Arial" w:cs="Arial"/>
                <w:color w:val="000000"/>
              </w:rPr>
              <w:t xml:space="preserve"> </w:t>
            </w:r>
          </w:p>
          <w:p w14:paraId="361678C3" w14:textId="77777777" w:rsidR="005C246E" w:rsidRDefault="005C246E" w:rsidP="005C246E">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Key challenges</w:t>
            </w:r>
          </w:p>
        </w:tc>
        <w:tc>
          <w:tcPr>
            <w:tcW w:w="5198" w:type="dxa"/>
            <w:tcBorders>
              <w:left w:val="single" w:sz="4" w:space="0" w:color="000000"/>
              <w:right w:val="single" w:sz="4" w:space="0" w:color="000000"/>
            </w:tcBorders>
          </w:tcPr>
          <w:p w14:paraId="1723B146" w14:textId="77777777" w:rsidR="005C246E" w:rsidRDefault="005C246E" w:rsidP="00444B8E">
            <w:pPr>
              <w:pBdr>
                <w:top w:val="nil"/>
                <w:left w:val="nil"/>
                <w:bottom w:val="nil"/>
                <w:right w:val="nil"/>
                <w:between w:val="nil"/>
              </w:pBdr>
              <w:ind w:left="720"/>
              <w:rPr>
                <w:rFonts w:ascii="Arial" w:eastAsia="Arial" w:hAnsi="Arial" w:cs="Arial"/>
                <w:b/>
                <w:color w:val="000000"/>
                <w:sz w:val="24"/>
                <w:szCs w:val="24"/>
              </w:rPr>
            </w:pPr>
          </w:p>
        </w:tc>
      </w:tr>
      <w:tr w:rsidR="005C246E" w14:paraId="2228B13A" w14:textId="77777777" w:rsidTr="00444B8E">
        <w:tc>
          <w:tcPr>
            <w:tcW w:w="3823" w:type="dxa"/>
            <w:tcBorders>
              <w:right w:val="single" w:sz="4" w:space="0" w:color="000000"/>
            </w:tcBorders>
            <w:shd w:val="clear" w:color="auto" w:fill="9CC3E5"/>
          </w:tcPr>
          <w:p w14:paraId="7BDE6BDE" w14:textId="77777777" w:rsidR="005C246E" w:rsidRDefault="005C246E" w:rsidP="00444B8E">
            <w:pPr>
              <w:pBdr>
                <w:top w:val="nil"/>
                <w:left w:val="nil"/>
                <w:bottom w:val="nil"/>
                <w:right w:val="nil"/>
                <w:between w:val="nil"/>
              </w:pBdr>
              <w:ind w:left="720"/>
              <w:rPr>
                <w:rFonts w:ascii="Arial" w:eastAsia="Arial" w:hAnsi="Arial" w:cs="Arial"/>
                <w:color w:val="000000"/>
                <w:sz w:val="24"/>
                <w:szCs w:val="24"/>
              </w:rPr>
            </w:pPr>
          </w:p>
        </w:tc>
        <w:tc>
          <w:tcPr>
            <w:tcW w:w="5198" w:type="dxa"/>
            <w:tcBorders>
              <w:top w:val="single" w:sz="4" w:space="0" w:color="4472C4"/>
              <w:left w:val="single" w:sz="4" w:space="0" w:color="000000"/>
              <w:bottom w:val="single" w:sz="4" w:space="0" w:color="4472C4"/>
              <w:right w:val="single" w:sz="4" w:space="0" w:color="000000"/>
            </w:tcBorders>
            <w:shd w:val="clear" w:color="auto" w:fill="9CC3E5"/>
          </w:tcPr>
          <w:p w14:paraId="1EDD12D8" w14:textId="77777777" w:rsidR="005C246E" w:rsidRDefault="005C246E" w:rsidP="00444B8E">
            <w:pPr>
              <w:pBdr>
                <w:top w:val="nil"/>
                <w:left w:val="nil"/>
                <w:bottom w:val="nil"/>
                <w:right w:val="nil"/>
                <w:between w:val="nil"/>
              </w:pBdr>
              <w:ind w:left="720"/>
              <w:rPr>
                <w:rFonts w:ascii="Arial" w:eastAsia="Arial" w:hAnsi="Arial" w:cs="Arial"/>
                <w:b/>
                <w:color w:val="000000"/>
                <w:sz w:val="24"/>
                <w:szCs w:val="24"/>
              </w:rPr>
            </w:pPr>
          </w:p>
        </w:tc>
      </w:tr>
      <w:tr w:rsidR="005C246E" w14:paraId="43EC50EA" w14:textId="77777777" w:rsidTr="00444B8E">
        <w:trPr>
          <w:trHeight w:val="240"/>
        </w:trPr>
        <w:tc>
          <w:tcPr>
            <w:tcW w:w="9021" w:type="dxa"/>
            <w:gridSpan w:val="2"/>
            <w:tcBorders>
              <w:right w:val="single" w:sz="4" w:space="0" w:color="000000"/>
            </w:tcBorders>
          </w:tcPr>
          <w:p w14:paraId="0E23BFDC" w14:textId="77777777" w:rsidR="005C246E" w:rsidRDefault="005C246E" w:rsidP="005C246E">
            <w:pPr>
              <w:numPr>
                <w:ilvl w:val="0"/>
                <w:numId w:val="1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Researcher development</w:t>
            </w:r>
          </w:p>
          <w:p w14:paraId="0C8420D5" w14:textId="77777777" w:rsidR="005C246E" w:rsidRDefault="005C246E" w:rsidP="00444B8E">
            <w:pPr>
              <w:ind w:left="720"/>
              <w:rPr>
                <w:rFonts w:ascii="Arial" w:eastAsia="Arial" w:hAnsi="Arial" w:cs="Arial"/>
                <w:sz w:val="24"/>
                <w:szCs w:val="24"/>
              </w:rPr>
            </w:pPr>
            <w:r>
              <w:rPr>
                <w:rFonts w:ascii="Arial" w:eastAsia="Arial" w:hAnsi="Arial" w:cs="Arial"/>
                <w:sz w:val="20"/>
                <w:szCs w:val="20"/>
              </w:rPr>
              <w:t>(up to 200 words)</w:t>
            </w:r>
          </w:p>
        </w:tc>
      </w:tr>
      <w:tr w:rsidR="005C246E" w14:paraId="3959F634" w14:textId="77777777" w:rsidTr="00444B8E">
        <w:trPr>
          <w:trHeight w:val="1140"/>
        </w:trPr>
        <w:tc>
          <w:tcPr>
            <w:tcW w:w="3823" w:type="dxa"/>
            <w:tcBorders>
              <w:right w:val="single" w:sz="4" w:space="0" w:color="000000"/>
            </w:tcBorders>
          </w:tcPr>
          <w:p w14:paraId="5BE8EA10"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Overview of 20/21 activity and approach</w:t>
            </w:r>
          </w:p>
          <w:p w14:paraId="1168457A" w14:textId="77777777" w:rsidR="005C246E" w:rsidRDefault="005C246E" w:rsidP="005C246E">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rPr>
              <w:t>Key achievements</w:t>
            </w:r>
          </w:p>
          <w:p w14:paraId="683E0EBE" w14:textId="77777777" w:rsidR="005C246E" w:rsidRDefault="005C246E" w:rsidP="005C246E">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Key challenges</w:t>
            </w:r>
          </w:p>
        </w:tc>
        <w:tc>
          <w:tcPr>
            <w:tcW w:w="5198" w:type="dxa"/>
            <w:tcBorders>
              <w:left w:val="single" w:sz="4" w:space="0" w:color="000000"/>
              <w:right w:val="single" w:sz="4" w:space="0" w:color="000000"/>
            </w:tcBorders>
          </w:tcPr>
          <w:p w14:paraId="2FC87C6C" w14:textId="77777777" w:rsidR="005C246E" w:rsidRDefault="005C246E" w:rsidP="00444B8E">
            <w:pPr>
              <w:pBdr>
                <w:top w:val="nil"/>
                <w:left w:val="nil"/>
                <w:bottom w:val="nil"/>
                <w:right w:val="nil"/>
                <w:between w:val="nil"/>
              </w:pBdr>
              <w:ind w:left="1080"/>
              <w:rPr>
                <w:rFonts w:ascii="Arial" w:eastAsia="Arial" w:hAnsi="Arial" w:cs="Arial"/>
                <w:color w:val="000000"/>
                <w:sz w:val="24"/>
                <w:szCs w:val="24"/>
              </w:rPr>
            </w:pPr>
          </w:p>
        </w:tc>
      </w:tr>
      <w:tr w:rsidR="005C246E" w14:paraId="493E696E" w14:textId="77777777" w:rsidTr="00444B8E">
        <w:tc>
          <w:tcPr>
            <w:tcW w:w="3823" w:type="dxa"/>
            <w:tcBorders>
              <w:right w:val="single" w:sz="4" w:space="0" w:color="000000"/>
            </w:tcBorders>
            <w:shd w:val="clear" w:color="auto" w:fill="9CC3E5"/>
          </w:tcPr>
          <w:p w14:paraId="4B4700DB" w14:textId="77777777" w:rsidR="005C246E" w:rsidRDefault="005C246E" w:rsidP="00444B8E">
            <w:pPr>
              <w:pBdr>
                <w:top w:val="nil"/>
                <w:left w:val="nil"/>
                <w:bottom w:val="nil"/>
                <w:right w:val="nil"/>
                <w:between w:val="nil"/>
              </w:pBdr>
              <w:ind w:left="720"/>
              <w:rPr>
                <w:rFonts w:ascii="Arial" w:eastAsia="Arial" w:hAnsi="Arial" w:cs="Arial"/>
                <w:color w:val="000000"/>
                <w:sz w:val="24"/>
                <w:szCs w:val="24"/>
              </w:rPr>
            </w:pPr>
          </w:p>
        </w:tc>
        <w:tc>
          <w:tcPr>
            <w:tcW w:w="5198" w:type="dxa"/>
            <w:tcBorders>
              <w:left w:val="single" w:sz="4" w:space="0" w:color="000000"/>
              <w:right w:val="single" w:sz="4" w:space="0" w:color="000000"/>
            </w:tcBorders>
            <w:shd w:val="clear" w:color="auto" w:fill="9CC3E5"/>
          </w:tcPr>
          <w:p w14:paraId="7DF8B4D6" w14:textId="77777777" w:rsidR="005C246E" w:rsidRDefault="005C246E" w:rsidP="00444B8E">
            <w:pPr>
              <w:pBdr>
                <w:top w:val="nil"/>
                <w:left w:val="nil"/>
                <w:bottom w:val="nil"/>
                <w:right w:val="nil"/>
                <w:between w:val="nil"/>
              </w:pBdr>
              <w:ind w:left="720"/>
              <w:rPr>
                <w:rFonts w:ascii="Arial" w:eastAsia="Arial" w:hAnsi="Arial" w:cs="Arial"/>
                <w:b/>
                <w:color w:val="000000"/>
                <w:sz w:val="24"/>
                <w:szCs w:val="24"/>
              </w:rPr>
            </w:pPr>
          </w:p>
        </w:tc>
      </w:tr>
      <w:tr w:rsidR="005C246E" w14:paraId="7838479D" w14:textId="77777777" w:rsidTr="00444B8E">
        <w:tc>
          <w:tcPr>
            <w:tcW w:w="3823" w:type="dxa"/>
            <w:tcBorders>
              <w:right w:val="single" w:sz="4" w:space="0" w:color="000000"/>
            </w:tcBorders>
          </w:tcPr>
          <w:p w14:paraId="7A5F8C2E" w14:textId="77777777" w:rsidR="005C246E" w:rsidRDefault="005C246E" w:rsidP="005C246E">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What learning from your KM activities would you </w:t>
            </w:r>
            <w:r>
              <w:rPr>
                <w:rFonts w:ascii="Arial" w:eastAsia="Arial" w:hAnsi="Arial" w:cs="Arial"/>
                <w:color w:val="000000"/>
                <w:sz w:val="24"/>
                <w:szCs w:val="24"/>
              </w:rPr>
              <w:lastRenderedPageBreak/>
              <w:t>want to share with other HPRUs?</w:t>
            </w:r>
          </w:p>
        </w:tc>
        <w:tc>
          <w:tcPr>
            <w:tcW w:w="5198" w:type="dxa"/>
            <w:tcBorders>
              <w:left w:val="single" w:sz="4" w:space="0" w:color="000000"/>
              <w:right w:val="single" w:sz="4" w:space="0" w:color="000000"/>
            </w:tcBorders>
          </w:tcPr>
          <w:p w14:paraId="3E91BE24" w14:textId="77777777" w:rsidR="005C246E" w:rsidRDefault="005C246E" w:rsidP="00444B8E">
            <w:pPr>
              <w:pBdr>
                <w:top w:val="nil"/>
                <w:left w:val="nil"/>
                <w:bottom w:val="nil"/>
                <w:right w:val="nil"/>
                <w:between w:val="nil"/>
              </w:pBdr>
              <w:ind w:left="720"/>
              <w:rPr>
                <w:rFonts w:ascii="Arial" w:eastAsia="Arial" w:hAnsi="Arial" w:cs="Arial"/>
                <w:b/>
                <w:color w:val="000000"/>
                <w:sz w:val="24"/>
                <w:szCs w:val="24"/>
              </w:rPr>
            </w:pPr>
          </w:p>
        </w:tc>
      </w:tr>
      <w:tr w:rsidR="005C246E" w14:paraId="6D90333A" w14:textId="77777777" w:rsidTr="00444B8E">
        <w:tc>
          <w:tcPr>
            <w:tcW w:w="3823" w:type="dxa"/>
            <w:tcBorders>
              <w:right w:val="single" w:sz="4" w:space="0" w:color="000000"/>
            </w:tcBorders>
            <w:shd w:val="clear" w:color="auto" w:fill="9CC3E5"/>
          </w:tcPr>
          <w:p w14:paraId="22203864" w14:textId="77777777" w:rsidR="005C246E" w:rsidRDefault="005C246E" w:rsidP="00444B8E">
            <w:pPr>
              <w:rPr>
                <w:rFonts w:ascii="Arial" w:eastAsia="Arial" w:hAnsi="Arial" w:cs="Arial"/>
                <w:sz w:val="24"/>
                <w:szCs w:val="24"/>
              </w:rPr>
            </w:pPr>
          </w:p>
        </w:tc>
        <w:tc>
          <w:tcPr>
            <w:tcW w:w="5198" w:type="dxa"/>
            <w:tcBorders>
              <w:left w:val="single" w:sz="4" w:space="0" w:color="000000"/>
              <w:right w:val="single" w:sz="4" w:space="0" w:color="000000"/>
            </w:tcBorders>
            <w:shd w:val="clear" w:color="auto" w:fill="9CC3E5"/>
          </w:tcPr>
          <w:p w14:paraId="49200C99" w14:textId="77777777" w:rsidR="005C246E" w:rsidRDefault="005C246E" w:rsidP="00444B8E">
            <w:pPr>
              <w:rPr>
                <w:rFonts w:ascii="Arial" w:eastAsia="Arial" w:hAnsi="Arial" w:cs="Arial"/>
                <w:sz w:val="24"/>
                <w:szCs w:val="24"/>
              </w:rPr>
            </w:pPr>
          </w:p>
        </w:tc>
      </w:tr>
    </w:tbl>
    <w:p w14:paraId="500A3C9E" w14:textId="77777777" w:rsidR="005C246E" w:rsidRDefault="005C246E" w:rsidP="005C246E">
      <w:pPr>
        <w:rPr>
          <w:rFonts w:ascii="Arial" w:eastAsia="Arial" w:hAnsi="Arial" w:cs="Arial"/>
          <w:sz w:val="24"/>
          <w:szCs w:val="24"/>
        </w:rPr>
      </w:pPr>
    </w:p>
    <w:p w14:paraId="59C2A0C9" w14:textId="77777777" w:rsidR="005C246E" w:rsidRPr="00332C7D" w:rsidRDefault="005C246E" w:rsidP="00332C7D">
      <w:pPr>
        <w:rPr>
          <w:color w:val="70AD47" w:themeColor="accent6"/>
        </w:rPr>
      </w:pPr>
    </w:p>
    <w:sectPr w:rsidR="005C246E" w:rsidRPr="00332C7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D8085" w14:textId="77777777" w:rsidR="00AD51C8" w:rsidRDefault="00AD51C8" w:rsidP="000012F9">
      <w:pPr>
        <w:spacing w:after="0" w:line="240" w:lineRule="auto"/>
      </w:pPr>
      <w:r>
        <w:separator/>
      </w:r>
    </w:p>
  </w:endnote>
  <w:endnote w:type="continuationSeparator" w:id="0">
    <w:p w14:paraId="7A1A98BC" w14:textId="77777777" w:rsidR="00AD51C8" w:rsidRDefault="00AD51C8" w:rsidP="0000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F267" w14:textId="77777777" w:rsidR="00AD51C8" w:rsidRDefault="00AD51C8" w:rsidP="000012F9">
      <w:pPr>
        <w:spacing w:after="0" w:line="240" w:lineRule="auto"/>
      </w:pPr>
      <w:r>
        <w:separator/>
      </w:r>
    </w:p>
  </w:footnote>
  <w:footnote w:type="continuationSeparator" w:id="0">
    <w:p w14:paraId="28732E1C" w14:textId="77777777" w:rsidR="00AD51C8" w:rsidRDefault="00AD51C8" w:rsidP="0000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D585" w14:textId="64DF7AA4" w:rsidR="000012F9" w:rsidRDefault="000012F9">
    <w:pPr>
      <w:pStyle w:val="Header"/>
    </w:pPr>
    <w:r>
      <w:t>KM Strategy v 0.</w:t>
    </w:r>
    <w:r w:rsidR="001F56A0">
      <w:t>3</w:t>
    </w:r>
    <w:r>
      <w:tab/>
    </w:r>
    <w:r>
      <w:tab/>
      <w:t>1</w:t>
    </w:r>
    <w:r w:rsidR="001F56A0">
      <w:t>9</w:t>
    </w:r>
    <w:r w:rsidRPr="000012F9">
      <w:rPr>
        <w:vertAlign w:val="superscript"/>
      </w:rPr>
      <w:t>th</w:t>
    </w:r>
    <w:r>
      <w:t xml:space="preserve">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9F6"/>
    <w:multiLevelType w:val="hybridMultilevel"/>
    <w:tmpl w:val="B55C2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B6546"/>
    <w:multiLevelType w:val="hybridMultilevel"/>
    <w:tmpl w:val="D1D43D48"/>
    <w:lvl w:ilvl="0" w:tplc="748EEC7C">
      <w:start w:val="1"/>
      <w:numFmt w:val="none"/>
      <w:lvlText w:val="1.1"/>
      <w:lvlJc w:val="left"/>
      <w:pPr>
        <w:ind w:left="720" w:hanging="3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7235"/>
    <w:multiLevelType w:val="hybridMultilevel"/>
    <w:tmpl w:val="EAB6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C36AA"/>
    <w:multiLevelType w:val="hybridMultilevel"/>
    <w:tmpl w:val="9384D19E"/>
    <w:lvl w:ilvl="0" w:tplc="43E4F2BE">
      <w:start w:val="5"/>
      <w:numFmt w:val="decimal"/>
      <w:lvlText w:val="%1.2"/>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E2B65"/>
    <w:multiLevelType w:val="hybridMultilevel"/>
    <w:tmpl w:val="0ABAF6EA"/>
    <w:lvl w:ilvl="0" w:tplc="6B122776">
      <w:start w:val="5"/>
      <w:numFmt w:val="decimal"/>
      <w:lvlText w:val="%1.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E1616"/>
    <w:multiLevelType w:val="multilevel"/>
    <w:tmpl w:val="1E68E7A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790E85"/>
    <w:multiLevelType w:val="multilevel"/>
    <w:tmpl w:val="1A3CBC4A"/>
    <w:lvl w:ilvl="0">
      <w:start w:val="1"/>
      <w:numFmt w:val="decimal"/>
      <w:lvlText w:val="%1."/>
      <w:lvlJc w:val="left"/>
      <w:pPr>
        <w:ind w:left="720" w:hanging="360"/>
      </w:pPr>
      <w:rPr>
        <w:rFonts w:hint="default"/>
      </w:rPr>
    </w:lvl>
    <w:lvl w:ilvl="1">
      <w:start w:val="1"/>
      <w:numFmt w:val="none"/>
      <w:lvlText w:val="4.1"/>
      <w:lvlJc w:val="left"/>
      <w:pPr>
        <w:ind w:left="720" w:hanging="36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E65882"/>
    <w:multiLevelType w:val="multilevel"/>
    <w:tmpl w:val="58427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E862823"/>
    <w:multiLevelType w:val="hybridMultilevel"/>
    <w:tmpl w:val="1D4EA56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33C54044"/>
    <w:multiLevelType w:val="multilevel"/>
    <w:tmpl w:val="AD3C7BF2"/>
    <w:lvl w:ilvl="0">
      <w:start w:val="3"/>
      <w:numFmt w:val="decimal"/>
      <w:lvlText w:val="%1"/>
      <w:lvlJc w:val="left"/>
      <w:pPr>
        <w:ind w:left="360" w:hanging="360"/>
      </w:pPr>
      <w:rPr>
        <w:rFonts w:hint="default"/>
      </w:rPr>
    </w:lvl>
    <w:lvl w:ilvl="1">
      <w:start w:val="3"/>
      <w:numFmt w:val="none"/>
      <w:lvlText w:val="3.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1BE0"/>
    <w:multiLevelType w:val="multilevel"/>
    <w:tmpl w:val="16B2F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3F01CD"/>
    <w:multiLevelType w:val="multilevel"/>
    <w:tmpl w:val="9C527C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01B6350"/>
    <w:multiLevelType w:val="hybridMultilevel"/>
    <w:tmpl w:val="32986978"/>
    <w:lvl w:ilvl="0" w:tplc="C5D62202">
      <w:start w:val="2"/>
      <w:numFmt w:val="none"/>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9311C9"/>
    <w:multiLevelType w:val="hybridMultilevel"/>
    <w:tmpl w:val="D766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D15A3"/>
    <w:multiLevelType w:val="hybridMultilevel"/>
    <w:tmpl w:val="5FF4AD22"/>
    <w:lvl w:ilvl="0" w:tplc="4846F9EE">
      <w:start w:val="3"/>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814067"/>
    <w:multiLevelType w:val="multilevel"/>
    <w:tmpl w:val="E04E93D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12"/>
  </w:num>
  <w:num w:numId="3">
    <w:abstractNumId w:val="6"/>
  </w:num>
  <w:num w:numId="4">
    <w:abstractNumId w:val="9"/>
  </w:num>
  <w:num w:numId="5">
    <w:abstractNumId w:val="14"/>
  </w:num>
  <w:num w:numId="6">
    <w:abstractNumId w:val="4"/>
  </w:num>
  <w:num w:numId="7">
    <w:abstractNumId w:val="3"/>
  </w:num>
  <w:num w:numId="8">
    <w:abstractNumId w:val="8"/>
  </w:num>
  <w:num w:numId="9">
    <w:abstractNumId w:val="2"/>
  </w:num>
  <w:num w:numId="10">
    <w:abstractNumId w:val="0"/>
  </w:num>
  <w:num w:numId="11">
    <w:abstractNumId w:val="1"/>
  </w:num>
  <w:num w:numId="12">
    <w:abstractNumId w:val="7"/>
  </w:num>
  <w:num w:numId="13">
    <w:abstractNumId w:val="11"/>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D4"/>
    <w:rsid w:val="000012F9"/>
    <w:rsid w:val="0001760C"/>
    <w:rsid w:val="00047CE3"/>
    <w:rsid w:val="000A69A0"/>
    <w:rsid w:val="000E6ADB"/>
    <w:rsid w:val="001254AC"/>
    <w:rsid w:val="001645B2"/>
    <w:rsid w:val="0016697F"/>
    <w:rsid w:val="001A4D35"/>
    <w:rsid w:val="001B35D4"/>
    <w:rsid w:val="001F56A0"/>
    <w:rsid w:val="0026040C"/>
    <w:rsid w:val="0033012F"/>
    <w:rsid w:val="00332C7D"/>
    <w:rsid w:val="00361119"/>
    <w:rsid w:val="00381BB8"/>
    <w:rsid w:val="00541475"/>
    <w:rsid w:val="00544575"/>
    <w:rsid w:val="005A0206"/>
    <w:rsid w:val="005C246E"/>
    <w:rsid w:val="005E4D7E"/>
    <w:rsid w:val="005F5057"/>
    <w:rsid w:val="00607E03"/>
    <w:rsid w:val="00655709"/>
    <w:rsid w:val="00681443"/>
    <w:rsid w:val="006C5129"/>
    <w:rsid w:val="00843A67"/>
    <w:rsid w:val="00874359"/>
    <w:rsid w:val="008B3999"/>
    <w:rsid w:val="008B7D47"/>
    <w:rsid w:val="008D5864"/>
    <w:rsid w:val="0096125D"/>
    <w:rsid w:val="009A551A"/>
    <w:rsid w:val="00A179D4"/>
    <w:rsid w:val="00A35184"/>
    <w:rsid w:val="00A474EC"/>
    <w:rsid w:val="00A65459"/>
    <w:rsid w:val="00AD51C8"/>
    <w:rsid w:val="00AF792C"/>
    <w:rsid w:val="00B1530B"/>
    <w:rsid w:val="00B571C5"/>
    <w:rsid w:val="00BD165B"/>
    <w:rsid w:val="00C81280"/>
    <w:rsid w:val="00C95298"/>
    <w:rsid w:val="00C96C6D"/>
    <w:rsid w:val="00D272A0"/>
    <w:rsid w:val="00D27F9D"/>
    <w:rsid w:val="00D34251"/>
    <w:rsid w:val="00D815B8"/>
    <w:rsid w:val="00DC234D"/>
    <w:rsid w:val="00DD7F25"/>
    <w:rsid w:val="00E305EB"/>
    <w:rsid w:val="00E52908"/>
    <w:rsid w:val="00EB27B8"/>
    <w:rsid w:val="00F265E9"/>
    <w:rsid w:val="00F90781"/>
    <w:rsid w:val="00F962C7"/>
    <w:rsid w:val="00FD5EBD"/>
    <w:rsid w:val="00FE0D72"/>
    <w:rsid w:val="00FE0E98"/>
    <w:rsid w:val="00FF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3129"/>
  <w15:chartTrackingRefBased/>
  <w15:docId w15:val="{2E5986A6-6096-48E2-9ACF-C50401DC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C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2C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2C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2C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32C7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96C6D"/>
    <w:rPr>
      <w:color w:val="0563C1" w:themeColor="hyperlink"/>
      <w:u w:val="single"/>
    </w:rPr>
  </w:style>
  <w:style w:type="paragraph" w:styleId="ListParagraph">
    <w:name w:val="List Paragraph"/>
    <w:basedOn w:val="Normal"/>
    <w:uiPriority w:val="34"/>
    <w:qFormat/>
    <w:rsid w:val="00C96C6D"/>
    <w:pPr>
      <w:spacing w:before="100" w:after="200" w:line="276" w:lineRule="auto"/>
      <w:ind w:left="720"/>
      <w:contextualSpacing/>
    </w:pPr>
    <w:rPr>
      <w:rFonts w:eastAsiaTheme="minorEastAsia"/>
      <w:sz w:val="20"/>
      <w:szCs w:val="20"/>
    </w:rPr>
  </w:style>
  <w:style w:type="paragraph" w:styleId="Header">
    <w:name w:val="header"/>
    <w:basedOn w:val="Normal"/>
    <w:link w:val="HeaderChar"/>
    <w:uiPriority w:val="99"/>
    <w:unhideWhenUsed/>
    <w:rsid w:val="00001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F9"/>
  </w:style>
  <w:style w:type="paragraph" w:styleId="Footer">
    <w:name w:val="footer"/>
    <w:basedOn w:val="Normal"/>
    <w:link w:val="FooterChar"/>
    <w:uiPriority w:val="99"/>
    <w:unhideWhenUsed/>
    <w:rsid w:val="00001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F9"/>
  </w:style>
  <w:style w:type="paragraph" w:styleId="BalloonText">
    <w:name w:val="Balloon Text"/>
    <w:basedOn w:val="Normal"/>
    <w:link w:val="BalloonTextChar"/>
    <w:uiPriority w:val="99"/>
    <w:semiHidden/>
    <w:unhideWhenUsed/>
    <w:rsid w:val="00166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7F"/>
    <w:rPr>
      <w:rFonts w:ascii="Segoe UI" w:hAnsi="Segoe UI" w:cs="Segoe UI"/>
      <w:sz w:val="18"/>
      <w:szCs w:val="18"/>
    </w:rPr>
  </w:style>
  <w:style w:type="character" w:styleId="CommentReference">
    <w:name w:val="annotation reference"/>
    <w:basedOn w:val="DefaultParagraphFont"/>
    <w:uiPriority w:val="99"/>
    <w:semiHidden/>
    <w:unhideWhenUsed/>
    <w:rsid w:val="00F962C7"/>
    <w:rPr>
      <w:sz w:val="16"/>
      <w:szCs w:val="16"/>
    </w:rPr>
  </w:style>
  <w:style w:type="paragraph" w:styleId="CommentText">
    <w:name w:val="annotation text"/>
    <w:basedOn w:val="Normal"/>
    <w:link w:val="CommentTextChar"/>
    <w:uiPriority w:val="99"/>
    <w:semiHidden/>
    <w:unhideWhenUsed/>
    <w:rsid w:val="00F962C7"/>
    <w:pPr>
      <w:spacing w:line="240" w:lineRule="auto"/>
    </w:pPr>
    <w:rPr>
      <w:sz w:val="20"/>
      <w:szCs w:val="20"/>
    </w:rPr>
  </w:style>
  <w:style w:type="character" w:customStyle="1" w:styleId="CommentTextChar">
    <w:name w:val="Comment Text Char"/>
    <w:basedOn w:val="DefaultParagraphFont"/>
    <w:link w:val="CommentText"/>
    <w:uiPriority w:val="99"/>
    <w:semiHidden/>
    <w:rsid w:val="00F962C7"/>
    <w:rPr>
      <w:sz w:val="20"/>
      <w:szCs w:val="20"/>
    </w:rPr>
  </w:style>
  <w:style w:type="paragraph" w:styleId="CommentSubject">
    <w:name w:val="annotation subject"/>
    <w:basedOn w:val="CommentText"/>
    <w:next w:val="CommentText"/>
    <w:link w:val="CommentSubjectChar"/>
    <w:uiPriority w:val="99"/>
    <w:semiHidden/>
    <w:unhideWhenUsed/>
    <w:rsid w:val="00F962C7"/>
    <w:rPr>
      <w:b/>
      <w:bCs/>
    </w:rPr>
  </w:style>
  <w:style w:type="character" w:customStyle="1" w:styleId="CommentSubjectChar">
    <w:name w:val="Comment Subject Char"/>
    <w:basedOn w:val="CommentTextChar"/>
    <w:link w:val="CommentSubject"/>
    <w:uiPriority w:val="99"/>
    <w:semiHidden/>
    <w:rsid w:val="00F962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documents/knowledge-mobilisation-research/22598" TargetMode="External"/><Relationship Id="rId5" Type="http://schemas.openxmlformats.org/officeDocument/2006/relationships/styles" Target="styles.xml"/><Relationship Id="rId10" Type="http://schemas.openxmlformats.org/officeDocument/2006/relationships/hyperlink" Target="https://whatworkswellbeing.org/resources/the-science-of-using-science-researching-the-use-of-research-evidence-in-decision-ma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EB640621AA0478DE5131A6C2B1231" ma:contentTypeVersion="13" ma:contentTypeDescription="Create a new document." ma:contentTypeScope="" ma:versionID="9d1e13896ab0c31000d46d435475bf9d">
  <xsd:schema xmlns:xsd="http://www.w3.org/2001/XMLSchema" xmlns:xs="http://www.w3.org/2001/XMLSchema" xmlns:p="http://schemas.microsoft.com/office/2006/metadata/properties" xmlns:ns2="c709c24e-4ca4-42c0-9746-103c185bce48" xmlns:ns3="32553172-51db-4502-8894-138481b177ae" targetNamespace="http://schemas.microsoft.com/office/2006/metadata/properties" ma:root="true" ma:fieldsID="1a77a4f5866a5cf8fbadef57a14d2500" ns2:_="" ns3:_="">
    <xsd:import namespace="c709c24e-4ca4-42c0-9746-103c185bce48"/>
    <xsd:import namespace="32553172-51db-4502-8894-138481b177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9c24e-4ca4-42c0-9746-103c185b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553172-51db-4502-8894-138481b177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c709c24e-4ca4-42c0-9746-103c185bce48" xsi:nil="true"/>
  </documentManagement>
</p:properties>
</file>

<file path=customXml/itemProps1.xml><?xml version="1.0" encoding="utf-8"?>
<ds:datastoreItem xmlns:ds="http://schemas.openxmlformats.org/officeDocument/2006/customXml" ds:itemID="{E78D5517-7ED6-43BF-8D0F-29B5E399C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9c24e-4ca4-42c0-9746-103c185bce48"/>
    <ds:schemaRef ds:uri="32553172-51db-4502-8894-138481b17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860B4-447F-4F7F-9674-6CF8D5FB193D}">
  <ds:schemaRefs>
    <ds:schemaRef ds:uri="http://schemas.microsoft.com/sharepoint/v3/contenttype/forms"/>
  </ds:schemaRefs>
</ds:datastoreItem>
</file>

<file path=customXml/itemProps3.xml><?xml version="1.0" encoding="utf-8"?>
<ds:datastoreItem xmlns:ds="http://schemas.openxmlformats.org/officeDocument/2006/customXml" ds:itemID="{AF42F581-9B65-4C33-AE67-4E1DD7D7CDCC}">
  <ds:schemaRefs>
    <ds:schemaRef ds:uri="http://schemas.microsoft.com/office/2006/metadata/properties"/>
    <ds:schemaRef ds:uri="http://schemas.microsoft.com/office/infopath/2007/PartnerControls"/>
    <ds:schemaRef ds:uri="c709c24e-4ca4-42c0-9746-103c185bce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Broom</dc:creator>
  <cp:keywords/>
  <dc:description/>
  <cp:lastModifiedBy>Kerry Broom</cp:lastModifiedBy>
  <cp:revision>3</cp:revision>
  <cp:lastPrinted>2021-04-15T09:08:00Z</cp:lastPrinted>
  <dcterms:created xsi:type="dcterms:W3CDTF">2021-04-19T15:35:00Z</dcterms:created>
  <dcterms:modified xsi:type="dcterms:W3CDTF">2021-04-19T15:35:00Z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0x01010017CEB640621AA0478DE5131A6C2B1231</vt:lpwstr>
  </property>
</Properties>
</file>